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D29BF" w14:textId="77777777" w:rsidR="00EB0EBD" w:rsidRPr="002B59E8" w:rsidRDefault="00EB0EBD" w:rsidP="00EB0EBD">
      <w:pPr>
        <w:jc w:val="center"/>
        <w:rPr>
          <w:rFonts w:ascii="Times New Roman" w:hAnsi="Times New Roman" w:cs="Times New Roman"/>
        </w:rPr>
      </w:pPr>
      <w:r w:rsidRPr="002B59E8">
        <w:rPr>
          <w:rFonts w:ascii="Times New Roman" w:hAnsi="Times New Roman" w:cs="Times New Roman"/>
        </w:rPr>
        <w:t>Fabrizio Gambini</w:t>
      </w:r>
    </w:p>
    <w:p w14:paraId="7EF3CB4B" w14:textId="048B7EF4" w:rsidR="007C59B0" w:rsidRPr="002B59E8" w:rsidRDefault="00EB0EBD">
      <w:pPr>
        <w:rPr>
          <w:rFonts w:ascii="Times New Roman" w:hAnsi="Times New Roman" w:cs="Times New Roman"/>
        </w:rPr>
      </w:pPr>
      <w:r w:rsidRPr="002B59E8">
        <w:rPr>
          <w:rFonts w:ascii="Times New Roman" w:hAnsi="Times New Roman" w:cs="Times New Roman"/>
          <w:i/>
          <w:iCs/>
        </w:rPr>
        <w:t>Marx per Lacan</w:t>
      </w:r>
      <w:r w:rsidRPr="002B59E8">
        <w:rPr>
          <w:rFonts w:ascii="Times New Roman" w:hAnsi="Times New Roman" w:cs="Times New Roman"/>
        </w:rPr>
        <w:t>, paginaotto, Trento 2024</w:t>
      </w:r>
    </w:p>
    <w:p w14:paraId="5B9532D4" w14:textId="77777777" w:rsidR="00EB0EBD" w:rsidRPr="002B59E8" w:rsidRDefault="00EB0EBD">
      <w:pPr>
        <w:rPr>
          <w:rFonts w:ascii="Times New Roman" w:hAnsi="Times New Roman" w:cs="Times New Roman"/>
        </w:rPr>
      </w:pPr>
    </w:p>
    <w:p w14:paraId="77103DC7" w14:textId="58B75841" w:rsidR="00EB0EBD" w:rsidRPr="002B59E8" w:rsidRDefault="00EB0EBD" w:rsidP="009C6766">
      <w:pPr>
        <w:ind w:firstLine="708"/>
        <w:jc w:val="both"/>
        <w:rPr>
          <w:rFonts w:ascii="Times New Roman" w:hAnsi="Times New Roman" w:cs="Times New Roman"/>
        </w:rPr>
      </w:pPr>
      <w:r w:rsidRPr="002B59E8">
        <w:rPr>
          <w:rFonts w:ascii="Times New Roman" w:hAnsi="Times New Roman" w:cs="Times New Roman"/>
        </w:rPr>
        <w:t xml:space="preserve">Vado subito alla questione. La psicoanalisi non può produrre una politica. Non è un «non potere» che si situa dal lato dell’impotenza, come nella frase «non posso giocare finché non ho fatto i compiti». Questa è una frase che presuppone un dovere morale, un imperativo; dovere che la lingua tedesca, quella di Marx e di Freud, traduce con il verbo </w:t>
      </w:r>
      <w:r w:rsidRPr="002B59E8">
        <w:rPr>
          <w:rFonts w:ascii="Times New Roman" w:hAnsi="Times New Roman" w:cs="Times New Roman"/>
          <w:i/>
          <w:iCs/>
        </w:rPr>
        <w:t>sollen</w:t>
      </w:r>
      <w:r w:rsidRPr="002B59E8">
        <w:rPr>
          <w:rFonts w:ascii="Times New Roman" w:hAnsi="Times New Roman" w:cs="Times New Roman"/>
        </w:rPr>
        <w:t xml:space="preserve">; è un </w:t>
      </w:r>
      <w:r w:rsidR="0093649B" w:rsidRPr="002B59E8">
        <w:rPr>
          <w:rFonts w:ascii="Times New Roman" w:hAnsi="Times New Roman" w:cs="Times New Roman"/>
        </w:rPr>
        <w:t>«</w:t>
      </w:r>
      <w:r w:rsidRPr="002B59E8">
        <w:rPr>
          <w:rFonts w:ascii="Times New Roman" w:hAnsi="Times New Roman" w:cs="Times New Roman"/>
        </w:rPr>
        <w:t>non potere</w:t>
      </w:r>
      <w:r w:rsidR="0093649B" w:rsidRPr="002B59E8">
        <w:rPr>
          <w:rFonts w:ascii="Times New Roman" w:hAnsi="Times New Roman" w:cs="Times New Roman"/>
        </w:rPr>
        <w:t>»</w:t>
      </w:r>
      <w:r w:rsidRPr="002B59E8">
        <w:rPr>
          <w:rFonts w:ascii="Times New Roman" w:hAnsi="Times New Roman" w:cs="Times New Roman"/>
        </w:rPr>
        <w:t xml:space="preserve"> che può tradursi con «non mi è permesso».</w:t>
      </w:r>
    </w:p>
    <w:p w14:paraId="13E9BBD2" w14:textId="32B5FB41" w:rsidR="00EB0EBD" w:rsidRPr="002B59E8" w:rsidRDefault="00EB0EBD" w:rsidP="009C6766">
      <w:pPr>
        <w:ind w:firstLine="708"/>
        <w:jc w:val="both"/>
        <w:rPr>
          <w:rFonts w:ascii="Times New Roman" w:hAnsi="Times New Roman" w:cs="Times New Roman"/>
        </w:rPr>
      </w:pPr>
      <w:r w:rsidRPr="002B59E8">
        <w:rPr>
          <w:rFonts w:ascii="Times New Roman" w:hAnsi="Times New Roman" w:cs="Times New Roman"/>
        </w:rPr>
        <w:t>Piuttosto</w:t>
      </w:r>
      <w:r w:rsidR="00A26571">
        <w:rPr>
          <w:rFonts w:ascii="Times New Roman" w:hAnsi="Times New Roman" w:cs="Times New Roman"/>
        </w:rPr>
        <w:t>,</w:t>
      </w:r>
      <w:r w:rsidRPr="002B59E8">
        <w:rPr>
          <w:rFonts w:ascii="Times New Roman" w:hAnsi="Times New Roman" w:cs="Times New Roman"/>
        </w:rPr>
        <w:t xml:space="preserve"> quella che riguarda propriamente la psicoanalisi</w:t>
      </w:r>
      <w:r w:rsidR="009C6766" w:rsidRPr="002B59E8">
        <w:rPr>
          <w:rFonts w:ascii="Times New Roman" w:hAnsi="Times New Roman" w:cs="Times New Roman"/>
        </w:rPr>
        <w:t xml:space="preserve"> è un’impossibilità, come nella frase «non posso correre i cento metri in meno di nove secondi». Qui, non è che non se ne abbia il permesso. Il </w:t>
      </w:r>
      <w:r w:rsidR="0093649B" w:rsidRPr="002B59E8">
        <w:rPr>
          <w:rFonts w:ascii="Times New Roman" w:hAnsi="Times New Roman" w:cs="Times New Roman"/>
        </w:rPr>
        <w:t>«</w:t>
      </w:r>
      <w:r w:rsidR="009C6766" w:rsidRPr="002B59E8">
        <w:rPr>
          <w:rFonts w:ascii="Times New Roman" w:hAnsi="Times New Roman" w:cs="Times New Roman"/>
        </w:rPr>
        <w:t>non potere</w:t>
      </w:r>
      <w:r w:rsidR="0093649B" w:rsidRPr="002B59E8">
        <w:rPr>
          <w:rFonts w:ascii="Times New Roman" w:hAnsi="Times New Roman" w:cs="Times New Roman"/>
        </w:rPr>
        <w:t>»</w:t>
      </w:r>
      <w:r w:rsidR="009C6766" w:rsidRPr="002B59E8">
        <w:rPr>
          <w:rFonts w:ascii="Times New Roman" w:hAnsi="Times New Roman" w:cs="Times New Roman"/>
        </w:rPr>
        <w:t xml:space="preserve"> non è più il corrispettivo di un dovere.</w:t>
      </w:r>
    </w:p>
    <w:p w14:paraId="031B8172" w14:textId="2AC23B2E" w:rsidR="0093649B" w:rsidRPr="002B59E8" w:rsidRDefault="0093649B" w:rsidP="009C6766">
      <w:pPr>
        <w:ind w:firstLine="708"/>
        <w:jc w:val="both"/>
        <w:rPr>
          <w:rFonts w:ascii="Times New Roman" w:hAnsi="Times New Roman" w:cs="Times New Roman"/>
        </w:rPr>
      </w:pPr>
      <w:r w:rsidRPr="002B59E8">
        <w:rPr>
          <w:rFonts w:ascii="Times New Roman" w:hAnsi="Times New Roman" w:cs="Times New Roman"/>
        </w:rPr>
        <w:t>È a causa di questa impossibilità che la psicoanalisi gira comunque attorno alla centralità della nozione di scacco, di fallimento. Nel suo esercizio, la psicoanalisi non può che mancare le proprie promesse.</w:t>
      </w:r>
    </w:p>
    <w:p w14:paraId="73776924" w14:textId="3FE926AD" w:rsidR="0093649B" w:rsidRPr="00E753B7" w:rsidRDefault="0093649B" w:rsidP="009C6766">
      <w:pPr>
        <w:ind w:firstLine="708"/>
        <w:jc w:val="both"/>
        <w:rPr>
          <w:rFonts w:ascii="Times New Roman" w:hAnsi="Times New Roman" w:cs="Times New Roman"/>
        </w:rPr>
      </w:pPr>
      <w:r w:rsidRPr="002B59E8">
        <w:rPr>
          <w:rFonts w:ascii="Times New Roman" w:hAnsi="Times New Roman" w:cs="Times New Roman"/>
        </w:rPr>
        <w:t>Di questa impossibilità, di questo modo di intendere il suo «non potere»</w:t>
      </w:r>
      <w:r w:rsidR="00A26571">
        <w:rPr>
          <w:rFonts w:ascii="Times New Roman" w:hAnsi="Times New Roman" w:cs="Times New Roman"/>
        </w:rPr>
        <w:t>,</w:t>
      </w:r>
      <w:r w:rsidRPr="002B59E8">
        <w:rPr>
          <w:rFonts w:ascii="Times New Roman" w:hAnsi="Times New Roman" w:cs="Times New Roman"/>
        </w:rPr>
        <w:t xml:space="preserve"> c’è un reciproco. </w:t>
      </w:r>
      <w:r w:rsidRPr="00E753B7">
        <w:rPr>
          <w:rFonts w:ascii="Times New Roman" w:hAnsi="Times New Roman" w:cs="Times New Roman"/>
        </w:rPr>
        <w:t>Lacan riprende</w:t>
      </w:r>
      <w:r w:rsidR="00A26571" w:rsidRPr="00E753B7">
        <w:rPr>
          <w:rFonts w:ascii="Times New Roman" w:hAnsi="Times New Roman" w:cs="Times New Roman"/>
        </w:rPr>
        <w:t xml:space="preserve"> infatti</w:t>
      </w:r>
      <w:r w:rsidRPr="00E753B7">
        <w:rPr>
          <w:rFonts w:ascii="Times New Roman" w:hAnsi="Times New Roman" w:cs="Times New Roman"/>
        </w:rPr>
        <w:t xml:space="preserve"> la celeberrima espressione freudiana, </w:t>
      </w:r>
      <w:r w:rsidRPr="00E753B7">
        <w:rPr>
          <w:rFonts w:ascii="Times New Roman" w:hAnsi="Times New Roman" w:cs="Times New Roman"/>
          <w:i/>
          <w:iCs/>
        </w:rPr>
        <w:t>Wo Es war</w:t>
      </w:r>
      <w:r w:rsidR="00A26571" w:rsidRPr="00E753B7">
        <w:rPr>
          <w:rFonts w:ascii="Times New Roman" w:hAnsi="Times New Roman" w:cs="Times New Roman"/>
          <w:i/>
          <w:iCs/>
        </w:rPr>
        <w:t>,</w:t>
      </w:r>
      <w:r w:rsidRPr="00E753B7">
        <w:rPr>
          <w:rFonts w:ascii="Times New Roman" w:hAnsi="Times New Roman" w:cs="Times New Roman"/>
          <w:i/>
          <w:iCs/>
        </w:rPr>
        <w:t xml:space="preserve"> soll Ich werden</w:t>
      </w:r>
      <w:r w:rsidRPr="00E753B7">
        <w:rPr>
          <w:rFonts w:ascii="Times New Roman" w:hAnsi="Times New Roman" w:cs="Times New Roman"/>
        </w:rPr>
        <w:t>:</w:t>
      </w:r>
    </w:p>
    <w:p w14:paraId="515DC14E" w14:textId="7DE65F0F" w:rsidR="002B59E8" w:rsidRDefault="0093649B" w:rsidP="002B59E8">
      <w:pPr>
        <w:ind w:left="1134" w:firstLine="708"/>
        <w:jc w:val="both"/>
        <w:rPr>
          <w:rFonts w:ascii="Times New Roman" w:hAnsi="Times New Roman" w:cs="Times New Roman"/>
          <w:sz w:val="20"/>
          <w:szCs w:val="20"/>
        </w:rPr>
      </w:pPr>
      <w:r w:rsidRPr="002B59E8">
        <w:rPr>
          <w:rFonts w:ascii="Times New Roman" w:hAnsi="Times New Roman" w:cs="Times New Roman"/>
          <w:i/>
          <w:iCs/>
          <w:sz w:val="20"/>
          <w:szCs w:val="20"/>
        </w:rPr>
        <w:t>Wo Es war</w:t>
      </w:r>
      <w:r w:rsidRPr="002B59E8">
        <w:rPr>
          <w:rFonts w:ascii="Times New Roman" w:hAnsi="Times New Roman" w:cs="Times New Roman"/>
          <w:sz w:val="20"/>
          <w:szCs w:val="20"/>
        </w:rPr>
        <w:t xml:space="preserve">, ci dice, </w:t>
      </w:r>
      <w:r w:rsidRPr="002B59E8">
        <w:rPr>
          <w:rFonts w:ascii="Times New Roman" w:hAnsi="Times New Roman" w:cs="Times New Roman"/>
          <w:i/>
          <w:iCs/>
          <w:sz w:val="20"/>
          <w:szCs w:val="20"/>
        </w:rPr>
        <w:t>soll Ich werden</w:t>
      </w:r>
      <w:r w:rsidRPr="002B59E8">
        <w:rPr>
          <w:rFonts w:ascii="Times New Roman" w:hAnsi="Times New Roman" w:cs="Times New Roman"/>
          <w:sz w:val="20"/>
          <w:szCs w:val="20"/>
        </w:rPr>
        <w:t xml:space="preserve">, e vi ho insegnato a rileggerla l’ultima volta: </w:t>
      </w:r>
      <w:r w:rsidRPr="002B59E8">
        <w:rPr>
          <w:rFonts w:ascii="Times New Roman" w:hAnsi="Times New Roman" w:cs="Times New Roman"/>
          <w:i/>
          <w:iCs/>
          <w:sz w:val="20"/>
          <w:szCs w:val="20"/>
        </w:rPr>
        <w:t>Wo $ tat</w:t>
      </w:r>
      <w:r w:rsidR="00350AC7" w:rsidRPr="002B59E8">
        <w:rPr>
          <w:rFonts w:ascii="Times New Roman" w:hAnsi="Times New Roman" w:cs="Times New Roman"/>
          <w:sz w:val="20"/>
          <w:szCs w:val="20"/>
        </w:rPr>
        <w:t xml:space="preserve">, e mi permetterete di scrivere questo </w:t>
      </w:r>
      <w:r w:rsidR="00350AC7" w:rsidRPr="002B59E8">
        <w:rPr>
          <w:rFonts w:ascii="Times New Roman" w:hAnsi="Times New Roman" w:cs="Times New Roman"/>
          <w:i/>
          <w:iCs/>
          <w:sz w:val="20"/>
          <w:szCs w:val="20"/>
        </w:rPr>
        <w:t>es</w:t>
      </w:r>
      <w:r w:rsidR="00350AC7" w:rsidRPr="002B59E8">
        <w:rPr>
          <w:rFonts w:ascii="Times New Roman" w:hAnsi="Times New Roman" w:cs="Times New Roman"/>
          <w:sz w:val="20"/>
          <w:szCs w:val="20"/>
        </w:rPr>
        <w:t xml:space="preserve"> con la lettera (S) barrata, là dove il significante agiva – nel doppio senso in cui cessa e cominciava appena ad agire – non come </w:t>
      </w:r>
      <w:r w:rsidR="00350AC7" w:rsidRPr="002B59E8">
        <w:rPr>
          <w:rFonts w:ascii="Times New Roman" w:hAnsi="Times New Roman" w:cs="Times New Roman"/>
          <w:i/>
          <w:iCs/>
          <w:sz w:val="20"/>
          <w:szCs w:val="20"/>
        </w:rPr>
        <w:t>soll Ich werden</w:t>
      </w:r>
      <w:r w:rsidR="00350AC7" w:rsidRPr="002B59E8">
        <w:rPr>
          <w:rFonts w:ascii="Times New Roman" w:hAnsi="Times New Roman" w:cs="Times New Roman"/>
          <w:sz w:val="20"/>
          <w:szCs w:val="20"/>
        </w:rPr>
        <w:t xml:space="preserve">, ma </w:t>
      </w:r>
      <w:r w:rsidR="00350AC7" w:rsidRPr="002B59E8">
        <w:rPr>
          <w:rFonts w:ascii="Times New Roman" w:hAnsi="Times New Roman" w:cs="Times New Roman"/>
          <w:i/>
          <w:iCs/>
          <w:sz w:val="20"/>
          <w:szCs w:val="20"/>
        </w:rPr>
        <w:t>m</w:t>
      </w:r>
      <w:r w:rsidR="002B59E8" w:rsidRPr="002B59E8">
        <w:rPr>
          <w:rFonts w:ascii="Times New Roman" w:hAnsi="Times New Roman" w:cs="Times New Roman"/>
          <w:i/>
          <w:iCs/>
          <w:sz w:val="20"/>
          <w:szCs w:val="20"/>
        </w:rPr>
        <w:t>uß Ich</w:t>
      </w:r>
      <w:r w:rsidR="00350AC7" w:rsidRPr="002B59E8">
        <w:rPr>
          <w:rFonts w:ascii="Times New Roman" w:hAnsi="Times New Roman" w:cs="Times New Roman"/>
          <w:sz w:val="20"/>
          <w:szCs w:val="20"/>
        </w:rPr>
        <w:t>, io che agisco. Io che lancio nel mond</w:t>
      </w:r>
      <w:r w:rsidR="002B59E8" w:rsidRPr="002B59E8">
        <w:rPr>
          <w:rFonts w:ascii="Times New Roman" w:hAnsi="Times New Roman" w:cs="Times New Roman"/>
          <w:sz w:val="20"/>
          <w:szCs w:val="20"/>
        </w:rPr>
        <w:t>o ciò a cui ci si p</w:t>
      </w:r>
      <w:r w:rsidR="002B59E8">
        <w:rPr>
          <w:rFonts w:ascii="Times New Roman" w:hAnsi="Times New Roman" w:cs="Times New Roman"/>
          <w:sz w:val="20"/>
          <w:szCs w:val="20"/>
        </w:rPr>
        <w:t>o</w:t>
      </w:r>
      <w:r w:rsidR="002B59E8" w:rsidRPr="002B59E8">
        <w:rPr>
          <w:rFonts w:ascii="Times New Roman" w:hAnsi="Times New Roman" w:cs="Times New Roman"/>
          <w:sz w:val="20"/>
          <w:szCs w:val="20"/>
        </w:rPr>
        <w:t>t</w:t>
      </w:r>
      <w:r w:rsidR="002B59E8">
        <w:rPr>
          <w:rFonts w:ascii="Times New Roman" w:hAnsi="Times New Roman" w:cs="Times New Roman"/>
          <w:sz w:val="20"/>
          <w:szCs w:val="20"/>
        </w:rPr>
        <w:t>r</w:t>
      </w:r>
      <w:r w:rsidR="002B59E8" w:rsidRPr="002B59E8">
        <w:rPr>
          <w:rFonts w:ascii="Times New Roman" w:hAnsi="Times New Roman" w:cs="Times New Roman"/>
          <w:sz w:val="20"/>
          <w:szCs w:val="20"/>
        </w:rPr>
        <w:t xml:space="preserve">à indirizzare come a una ragione, </w:t>
      </w:r>
      <w:r w:rsidR="002B59E8" w:rsidRPr="002B59E8">
        <w:rPr>
          <w:rFonts w:ascii="Times New Roman" w:hAnsi="Times New Roman" w:cs="Times New Roman"/>
          <w:i/>
          <w:iCs/>
          <w:sz w:val="20"/>
          <w:szCs w:val="20"/>
        </w:rPr>
        <w:t>muß Ich</w:t>
      </w:r>
      <w:r w:rsidR="002B59E8" w:rsidRPr="002B59E8">
        <w:rPr>
          <w:rFonts w:ascii="Times New Roman" w:hAnsi="Times New Roman" w:cs="Times New Roman"/>
          <w:sz w:val="20"/>
          <w:szCs w:val="20"/>
        </w:rPr>
        <w:t xml:space="preserve"> </w:t>
      </w:r>
      <w:r w:rsidR="002B59E8">
        <w:rPr>
          <w:rFonts w:ascii="Times New Roman" w:hAnsi="Times New Roman" w:cs="Times New Roman"/>
          <w:sz w:val="20"/>
          <w:szCs w:val="20"/>
        </w:rPr>
        <w:t>‘</w:t>
      </w:r>
      <w:r w:rsidR="002B59E8" w:rsidRPr="00E753B7">
        <w:rPr>
          <w:rFonts w:ascii="Times New Roman" w:hAnsi="Times New Roman" w:cs="Times New Roman"/>
          <w:i/>
          <w:iCs/>
          <w:sz w:val="20"/>
          <w:szCs w:val="20"/>
        </w:rPr>
        <w:t>a</w:t>
      </w:r>
      <w:r w:rsidR="002B59E8">
        <w:rPr>
          <w:rFonts w:ascii="Times New Roman" w:hAnsi="Times New Roman" w:cs="Times New Roman"/>
          <w:sz w:val="20"/>
          <w:szCs w:val="20"/>
        </w:rPr>
        <w:t>’</w:t>
      </w:r>
      <w:r w:rsidR="002B59E8" w:rsidRPr="002B59E8">
        <w:rPr>
          <w:rFonts w:ascii="Times New Roman" w:hAnsi="Times New Roman" w:cs="Times New Roman"/>
          <w:sz w:val="20"/>
          <w:szCs w:val="20"/>
        </w:rPr>
        <w:t xml:space="preserve"> </w:t>
      </w:r>
      <w:r w:rsidR="002B59E8" w:rsidRPr="002B59E8">
        <w:rPr>
          <w:rFonts w:ascii="Times New Roman" w:hAnsi="Times New Roman" w:cs="Times New Roman"/>
          <w:i/>
          <w:iCs/>
          <w:sz w:val="20"/>
          <w:szCs w:val="20"/>
        </w:rPr>
        <w:t>werden</w:t>
      </w:r>
      <w:r w:rsidR="002B59E8" w:rsidRPr="002B59E8">
        <w:rPr>
          <w:rFonts w:ascii="Times New Roman" w:hAnsi="Times New Roman" w:cs="Times New Roman"/>
          <w:sz w:val="20"/>
          <w:szCs w:val="20"/>
        </w:rPr>
        <w:t>, di ciò che io introduco come nuovo ordine nel mondo, devo diventare il rifiuto.</w:t>
      </w:r>
      <w:r w:rsidR="002B59E8" w:rsidRPr="002B59E8">
        <w:rPr>
          <w:rStyle w:val="Rimandonotaapidipagina"/>
          <w:rFonts w:ascii="Times New Roman" w:hAnsi="Times New Roman" w:cs="Times New Roman"/>
          <w:sz w:val="20"/>
          <w:szCs w:val="20"/>
        </w:rPr>
        <w:footnoteReference w:id="1"/>
      </w:r>
    </w:p>
    <w:p w14:paraId="2EF54DA5" w14:textId="4A60F40F" w:rsidR="002B59E8" w:rsidRDefault="002B59E8" w:rsidP="002B59E8">
      <w:pPr>
        <w:jc w:val="both"/>
        <w:rPr>
          <w:rFonts w:ascii="Cambria Math" w:hAnsi="Cambria Math" w:cs="Times New Roman"/>
        </w:rPr>
      </w:pPr>
      <w:r w:rsidRPr="002B59E8">
        <w:rPr>
          <w:rFonts w:ascii="Times New Roman" w:hAnsi="Times New Roman" w:cs="Times New Roman"/>
        </w:rPr>
        <w:tab/>
        <w:t>Il reciproco</w:t>
      </w:r>
      <w:r>
        <w:rPr>
          <w:rFonts w:ascii="Times New Roman" w:hAnsi="Times New Roman" w:cs="Times New Roman"/>
        </w:rPr>
        <w:t xml:space="preserve"> dell’impossibilità propria della psicoanalisi </w:t>
      </w:r>
      <w:r w:rsidR="00A26571">
        <w:rPr>
          <w:rFonts w:ascii="Times New Roman" w:hAnsi="Times New Roman" w:cs="Times New Roman"/>
        </w:rPr>
        <w:t xml:space="preserve">non è qui il </w:t>
      </w:r>
      <w:r w:rsidR="00A26571" w:rsidRPr="00A26571">
        <w:rPr>
          <w:rFonts w:ascii="Times New Roman" w:hAnsi="Times New Roman" w:cs="Times New Roman"/>
          <w:i/>
          <w:iCs/>
        </w:rPr>
        <w:t>sollen</w:t>
      </w:r>
      <w:r w:rsidR="00A26571">
        <w:rPr>
          <w:rFonts w:ascii="Times New Roman" w:hAnsi="Times New Roman" w:cs="Times New Roman"/>
        </w:rPr>
        <w:t>, che abbiamo visto, bensì</w:t>
      </w:r>
      <w:r>
        <w:rPr>
          <w:rFonts w:ascii="Times New Roman" w:hAnsi="Times New Roman" w:cs="Times New Roman"/>
        </w:rPr>
        <w:t xml:space="preserve"> il </w:t>
      </w:r>
      <w:r w:rsidRPr="00A26571">
        <w:rPr>
          <w:rFonts w:ascii="Times New Roman" w:hAnsi="Times New Roman" w:cs="Times New Roman"/>
          <w:i/>
          <w:iCs/>
        </w:rPr>
        <w:t>mu</w:t>
      </w:r>
      <w:r w:rsidRPr="00A26571">
        <w:rPr>
          <w:rFonts w:ascii="Calibri" w:hAnsi="Calibri" w:cs="Calibri"/>
          <w:i/>
          <w:iCs/>
        </w:rPr>
        <w:t>ß</w:t>
      </w:r>
      <w:r w:rsidRPr="00A26571">
        <w:rPr>
          <w:rFonts w:ascii="Cambria Math" w:hAnsi="Cambria Math" w:cs="Times New Roman"/>
          <w:i/>
          <w:iCs/>
        </w:rPr>
        <w:t>en</w:t>
      </w:r>
      <w:r>
        <w:rPr>
          <w:rFonts w:ascii="Cambria Math" w:hAnsi="Cambria Math" w:cs="Times New Roman"/>
        </w:rPr>
        <w:t xml:space="preserve">, il dovere </w:t>
      </w:r>
      <w:r w:rsidR="00A26571">
        <w:rPr>
          <w:rFonts w:ascii="Cambria Math" w:hAnsi="Cambria Math" w:cs="Times New Roman"/>
        </w:rPr>
        <w:t xml:space="preserve">inteso come responsivo a una legge naturale che non può non attuarsi. Qualcosa del genere: «Prima o poi </w:t>
      </w:r>
      <w:r w:rsidR="00A26571" w:rsidRPr="00A26571">
        <w:rPr>
          <w:rFonts w:ascii="Cambria Math" w:hAnsi="Cambria Math" w:cs="Times New Roman"/>
          <w:i/>
          <w:iCs/>
        </w:rPr>
        <w:t>deve</w:t>
      </w:r>
      <w:r w:rsidR="00A26571">
        <w:rPr>
          <w:rFonts w:ascii="Cambria Math" w:hAnsi="Cambria Math" w:cs="Times New Roman"/>
        </w:rPr>
        <w:t xml:space="preserve"> piovere».</w:t>
      </w:r>
    </w:p>
    <w:p w14:paraId="5FC15802" w14:textId="71BF61D4" w:rsidR="00A26571" w:rsidRDefault="00A26571" w:rsidP="002B59E8">
      <w:pPr>
        <w:jc w:val="both"/>
        <w:rPr>
          <w:rFonts w:ascii="Cambria Math" w:hAnsi="Cambria Math" w:cs="Times New Roman"/>
        </w:rPr>
      </w:pPr>
      <w:r>
        <w:rPr>
          <w:rFonts w:ascii="Cambria Math" w:hAnsi="Cambria Math" w:cs="Times New Roman"/>
        </w:rPr>
        <w:tab/>
        <w:t xml:space="preserve">Vorrei partire da qui per dire qualcosa di questo bel libro che giustappone, e in qualche modo collaziona, concetti marxiani e concetti lacaniani. Là dove </w:t>
      </w:r>
      <w:r w:rsidR="00B5164D">
        <w:rPr>
          <w:rFonts w:ascii="Cambria Math" w:hAnsi="Cambria Math" w:cs="Times New Roman"/>
        </w:rPr>
        <w:t xml:space="preserve">(nel libro) </w:t>
      </w:r>
      <w:r>
        <w:rPr>
          <w:rFonts w:ascii="Cambria Math" w:hAnsi="Cambria Math" w:cs="Times New Roman"/>
        </w:rPr>
        <w:t xml:space="preserve">si è alla ricerca di una continuità – che c’è, e vedremo come – vorrei </w:t>
      </w:r>
      <w:r w:rsidR="00B5164D">
        <w:rPr>
          <w:rFonts w:ascii="Cambria Math" w:hAnsi="Cambria Math" w:cs="Times New Roman"/>
        </w:rPr>
        <w:t xml:space="preserve">insomma </w:t>
      </w:r>
      <w:r>
        <w:rPr>
          <w:rFonts w:ascii="Cambria Math" w:hAnsi="Cambria Math" w:cs="Times New Roman"/>
        </w:rPr>
        <w:t xml:space="preserve">partire </w:t>
      </w:r>
      <w:r w:rsidR="00B5164D">
        <w:rPr>
          <w:rFonts w:ascii="Cambria Math" w:hAnsi="Cambria Math" w:cs="Times New Roman"/>
        </w:rPr>
        <w:t xml:space="preserve">piuttosto </w:t>
      </w:r>
      <w:r>
        <w:rPr>
          <w:rFonts w:ascii="Cambria Math" w:hAnsi="Cambria Math" w:cs="Times New Roman"/>
        </w:rPr>
        <w:t>da una cesura</w:t>
      </w:r>
      <w:r w:rsidR="00B5164D">
        <w:rPr>
          <w:rFonts w:ascii="Cambria Math" w:hAnsi="Cambria Math" w:cs="Times New Roman"/>
        </w:rPr>
        <w:t>, da una differenza</w:t>
      </w:r>
      <w:r w:rsidR="001C744D">
        <w:rPr>
          <w:rFonts w:ascii="Cambria Math" w:hAnsi="Cambria Math" w:cs="Times New Roman"/>
        </w:rPr>
        <w:t>:</w:t>
      </w:r>
      <w:r w:rsidR="00B5164D">
        <w:rPr>
          <w:rFonts w:ascii="Cambria Math" w:hAnsi="Cambria Math" w:cs="Times New Roman"/>
        </w:rPr>
        <w:t xml:space="preserve"> il pensiero di Marx è un pensiero politico, quello di Lacan non lo è.</w:t>
      </w:r>
    </w:p>
    <w:p w14:paraId="280DB4C3" w14:textId="438BDA05" w:rsidR="009C3A68" w:rsidRDefault="00B5164D" w:rsidP="002B59E8">
      <w:pPr>
        <w:jc w:val="both"/>
        <w:rPr>
          <w:rFonts w:ascii="Cambria Math" w:hAnsi="Cambria Math" w:cs="Times New Roman"/>
        </w:rPr>
      </w:pPr>
      <w:r>
        <w:rPr>
          <w:rFonts w:ascii="Cambria Math" w:hAnsi="Cambria Math" w:cs="Times New Roman"/>
        </w:rPr>
        <w:tab/>
        <w:t>Entrambi, Marx e Lacan, rileggono Hegel. In particolare Lacan lo rilegge anche attraverso la lente delle lezioni che Kojève aveva tenuto alla Sorbona nella seconda metà degli anni Trenta.</w:t>
      </w:r>
      <w:r w:rsidR="009C3A68">
        <w:rPr>
          <w:rFonts w:ascii="Cambria Math" w:hAnsi="Cambria Math" w:cs="Times New Roman"/>
        </w:rPr>
        <w:t xml:space="preserve"> In ogni caso per entrambi è centrale il riferimento a un passaggio celebre della </w:t>
      </w:r>
      <w:r w:rsidR="009C3A68" w:rsidRPr="009C3A68">
        <w:rPr>
          <w:rFonts w:ascii="Cambria Math" w:hAnsi="Cambria Math" w:cs="Times New Roman"/>
          <w:i/>
          <w:iCs/>
        </w:rPr>
        <w:t>Fenomenologia dello spirito</w:t>
      </w:r>
      <w:r w:rsidR="009C3A68">
        <w:rPr>
          <w:rFonts w:ascii="Cambria Math" w:hAnsi="Cambria Math" w:cs="Times New Roman"/>
        </w:rPr>
        <w:t>:</w:t>
      </w:r>
    </w:p>
    <w:p w14:paraId="3A65F069" w14:textId="6CF74408" w:rsidR="009C3A68" w:rsidRPr="009C3A68" w:rsidRDefault="009C3A68" w:rsidP="009C3A68">
      <w:pPr>
        <w:pStyle w:val="Paragrafoelenco"/>
        <w:ind w:left="1134"/>
        <w:jc w:val="both"/>
        <w:rPr>
          <w:rFonts w:ascii="Times New Roman" w:hAnsi="Times New Roman" w:cs="Times New Roman"/>
          <w:sz w:val="20"/>
          <w:szCs w:val="20"/>
        </w:rPr>
      </w:pPr>
      <w:r w:rsidRPr="009C3A68">
        <w:rPr>
          <w:rFonts w:ascii="Times New Roman" w:hAnsi="Times New Roman" w:cs="Times New Roman"/>
          <w:sz w:val="20"/>
          <w:szCs w:val="20"/>
        </w:rPr>
        <w:t>Nell’autocoscienza immediata l’Io semplice è l’oggetto assoluto, che peraltro per noi o in sé è l’assoluta mediazione, e ha per momento essenziale l’indipendenza sussistente. Resultato dell</w:t>
      </w:r>
      <w:r>
        <w:rPr>
          <w:rFonts w:ascii="Times New Roman" w:hAnsi="Times New Roman" w:cs="Times New Roman"/>
          <w:sz w:val="20"/>
          <w:szCs w:val="20"/>
        </w:rPr>
        <w:t>a</w:t>
      </w:r>
      <w:r w:rsidRPr="009C3A68">
        <w:rPr>
          <w:rFonts w:ascii="Times New Roman" w:hAnsi="Times New Roman" w:cs="Times New Roman"/>
          <w:sz w:val="20"/>
          <w:szCs w:val="20"/>
        </w:rPr>
        <w:t xml:space="preserve"> prima esperienza è la risoluzione di quell’unità semplice; mediante quell’esperienza son poste un’autocoscienza pura e una coscienza la quale non è pura per sé stessa, ma per un altro: vale a dire che è come coscienza nell’</w:t>
      </w:r>
      <w:r w:rsidRPr="009C3A68">
        <w:rPr>
          <w:rFonts w:ascii="Times New Roman" w:hAnsi="Times New Roman" w:cs="Times New Roman"/>
          <w:i/>
          <w:iCs/>
          <w:sz w:val="20"/>
          <w:szCs w:val="20"/>
        </w:rPr>
        <w:t xml:space="preserve">elemento dell’essere </w:t>
      </w:r>
      <w:r w:rsidRPr="009C3A68">
        <w:rPr>
          <w:rFonts w:ascii="Times New Roman" w:hAnsi="Times New Roman" w:cs="Times New Roman"/>
          <w:sz w:val="20"/>
          <w:szCs w:val="20"/>
        </w:rPr>
        <w:t xml:space="preserve">o nella figura della </w:t>
      </w:r>
      <w:r w:rsidRPr="009C3A68">
        <w:rPr>
          <w:rFonts w:ascii="Times New Roman" w:hAnsi="Times New Roman" w:cs="Times New Roman"/>
          <w:i/>
          <w:iCs/>
          <w:sz w:val="20"/>
          <w:szCs w:val="20"/>
        </w:rPr>
        <w:t>cosalità</w:t>
      </w:r>
      <w:r w:rsidRPr="009C3A68">
        <w:rPr>
          <w:rFonts w:ascii="Times New Roman" w:hAnsi="Times New Roman" w:cs="Times New Roman"/>
          <w:sz w:val="20"/>
          <w:szCs w:val="20"/>
        </w:rPr>
        <w:t xml:space="preserve">. Entrambi i momenti sono essenziali; poiché da prima essi sono ineguali ed opposti, e la loro riflessione nell’unità non è ancora risultata, essi sono come due opposte figure della coscienza: l’una è la coscienza indipendente alla quale è essenza l’esser-per-sé; l’altra è la coscienza dipendente alla quale è essenza la vita o l’essere per un altro; l’uno è il </w:t>
      </w:r>
      <w:r w:rsidRPr="009C3A68">
        <w:rPr>
          <w:rFonts w:ascii="Times New Roman" w:hAnsi="Times New Roman" w:cs="Times New Roman"/>
          <w:i/>
          <w:iCs/>
          <w:sz w:val="20"/>
          <w:szCs w:val="20"/>
        </w:rPr>
        <w:t>signore</w:t>
      </w:r>
      <w:r w:rsidRPr="009C3A68">
        <w:rPr>
          <w:rFonts w:ascii="Times New Roman" w:hAnsi="Times New Roman" w:cs="Times New Roman"/>
          <w:sz w:val="20"/>
          <w:szCs w:val="20"/>
        </w:rPr>
        <w:t xml:space="preserve">, l’altro il </w:t>
      </w:r>
      <w:r w:rsidRPr="009C3A68">
        <w:rPr>
          <w:rFonts w:ascii="Times New Roman" w:hAnsi="Times New Roman" w:cs="Times New Roman"/>
          <w:i/>
          <w:iCs/>
          <w:sz w:val="20"/>
          <w:szCs w:val="20"/>
        </w:rPr>
        <w:t>servo</w:t>
      </w:r>
      <w:r w:rsidRPr="009C3A68">
        <w:rPr>
          <w:rFonts w:ascii="Times New Roman" w:hAnsi="Times New Roman" w:cs="Times New Roman"/>
          <w:sz w:val="20"/>
          <w:szCs w:val="20"/>
        </w:rPr>
        <w:t>.</w:t>
      </w:r>
      <w:r w:rsidRPr="009C3A68">
        <w:rPr>
          <w:rStyle w:val="Rimandonotaapidipagina"/>
          <w:rFonts w:ascii="Times New Roman" w:hAnsi="Times New Roman" w:cs="Times New Roman"/>
          <w:sz w:val="20"/>
          <w:szCs w:val="20"/>
        </w:rPr>
        <w:footnoteReference w:id="2"/>
      </w:r>
    </w:p>
    <w:p w14:paraId="73C4C30F" w14:textId="77777777" w:rsidR="009C3A68" w:rsidRPr="00986265" w:rsidRDefault="009C3A68" w:rsidP="009C3A68">
      <w:pPr>
        <w:pStyle w:val="Paragrafoelenco"/>
        <w:ind w:left="0"/>
        <w:jc w:val="both"/>
        <w:rPr>
          <w:rFonts w:ascii="Times New Roman" w:hAnsi="Times New Roman" w:cs="Times New Roman"/>
        </w:rPr>
      </w:pPr>
    </w:p>
    <w:p w14:paraId="4707F07D" w14:textId="768B5B4D" w:rsidR="00986265" w:rsidRPr="00986265" w:rsidRDefault="009C3A68" w:rsidP="00986265">
      <w:pPr>
        <w:pStyle w:val="Paragrafoelenco"/>
        <w:ind w:left="0" w:firstLine="708"/>
        <w:jc w:val="both"/>
        <w:rPr>
          <w:rFonts w:ascii="Times New Roman" w:hAnsi="Times New Roman" w:cs="Times New Roman"/>
        </w:rPr>
      </w:pPr>
      <w:r w:rsidRPr="00986265">
        <w:rPr>
          <w:rFonts w:ascii="Times New Roman" w:hAnsi="Times New Roman" w:cs="Times New Roman"/>
        </w:rPr>
        <w:t xml:space="preserve">Capiamo bene: «signore» e «servo» sono metafore e contemporaneamente non lo sono. Da un lato, metaforicamente, «signore» è la «coscienza indipendente alla quale è essenza l’esser-per-se» e «servo» è la «coscienza dipendente alla quale è essenza la vita o l’essere per un altro.» Vedete bene che non siamo poi tanto lontani da Cartesio: il </w:t>
      </w:r>
      <w:r w:rsidRPr="00986265">
        <w:rPr>
          <w:rFonts w:ascii="Times New Roman" w:hAnsi="Times New Roman" w:cs="Times New Roman"/>
          <w:i/>
          <w:iCs/>
        </w:rPr>
        <w:t>cogito</w:t>
      </w:r>
      <w:r w:rsidRPr="00986265">
        <w:rPr>
          <w:rFonts w:ascii="Times New Roman" w:hAnsi="Times New Roman" w:cs="Times New Roman"/>
        </w:rPr>
        <w:t xml:space="preserve"> come «coscienza indipendente» e l’essere, il </w:t>
      </w:r>
      <w:r w:rsidR="00180987" w:rsidRPr="00180987">
        <w:rPr>
          <w:rFonts w:ascii="Times New Roman" w:hAnsi="Times New Roman" w:cs="Times New Roman"/>
          <w:i/>
          <w:iCs/>
        </w:rPr>
        <w:t>sum</w:t>
      </w:r>
      <w:r w:rsidRPr="00986265">
        <w:rPr>
          <w:rFonts w:ascii="Times New Roman" w:hAnsi="Times New Roman" w:cs="Times New Roman"/>
        </w:rPr>
        <w:t xml:space="preserve"> come «coscienza dipendente». Dall’altro lato però, non tanto metaforicamente, signore e servo si fronteggiano dialetticamente in una lotta </w:t>
      </w:r>
      <w:r w:rsidRPr="00986265">
        <w:rPr>
          <w:rFonts w:ascii="Times New Roman" w:hAnsi="Times New Roman" w:cs="Times New Roman"/>
        </w:rPr>
        <w:lastRenderedPageBreak/>
        <w:t>che è, per Hegel, il motore della Storia.</w:t>
      </w:r>
      <w:r w:rsidR="00986265">
        <w:rPr>
          <w:rFonts w:ascii="Times New Roman" w:hAnsi="Times New Roman" w:cs="Times New Roman"/>
        </w:rPr>
        <w:t xml:space="preserve"> In questo Marx è perfettamente hegeliano</w:t>
      </w:r>
      <w:r w:rsidR="00986265" w:rsidRPr="00986265">
        <w:rPr>
          <w:rFonts w:ascii="Times New Roman" w:hAnsi="Times New Roman" w:cs="Times New Roman"/>
        </w:rPr>
        <w:t>, Lacan invece non lo è</w:t>
      </w:r>
      <w:r w:rsidR="008F63E2">
        <w:rPr>
          <w:rFonts w:ascii="Times New Roman" w:hAnsi="Times New Roman" w:cs="Times New Roman"/>
        </w:rPr>
        <w:t>.</w:t>
      </w:r>
      <w:r w:rsidRPr="00986265">
        <w:rPr>
          <w:rFonts w:ascii="Times New Roman" w:hAnsi="Times New Roman" w:cs="Times New Roman"/>
        </w:rPr>
        <w:t xml:space="preserve"> Il discorso della Psicoanalisi, in quanto soggiacente alla logica della dialettica hegeliana, ma, direi in quanto soggiacente a ogni dialettica politica, è uno dei quattro Discorsi che la posizione analitica, la sospensione di giudizio propria della posizione analitica, consente di individuare sottotraccia, consente cioè di tracciare come un sapere privo di soggetto al quale lo psicoanalista non manca di appoggiarsi.</w:t>
      </w:r>
      <w:r w:rsidR="00986265" w:rsidRPr="00986265">
        <w:rPr>
          <w:rFonts w:ascii="Times New Roman" w:hAnsi="Times New Roman" w:cs="Times New Roman"/>
        </w:rPr>
        <w:t xml:space="preserve"> </w:t>
      </w:r>
      <w:r w:rsidRPr="00986265">
        <w:rPr>
          <w:rFonts w:ascii="Times New Roman" w:hAnsi="Times New Roman" w:cs="Times New Roman"/>
        </w:rPr>
        <w:t>Questa lettura della dialettica hegeliana tra dipendenza e indipendenza dell’autocoscienza ha, di conseguenza, per noi una duplice valenz</w:t>
      </w:r>
      <w:r w:rsidR="00986265" w:rsidRPr="00986265">
        <w:rPr>
          <w:rFonts w:ascii="Times New Roman" w:hAnsi="Times New Roman" w:cs="Times New Roman"/>
        </w:rPr>
        <w:t>a.</w:t>
      </w:r>
    </w:p>
    <w:p w14:paraId="5929E220" w14:textId="77777777" w:rsidR="00986265" w:rsidRPr="00986265" w:rsidRDefault="00986265" w:rsidP="009C3A68">
      <w:pPr>
        <w:pStyle w:val="Paragrafoelenco"/>
        <w:ind w:left="0" w:firstLine="708"/>
        <w:jc w:val="both"/>
        <w:rPr>
          <w:rFonts w:ascii="Times New Roman" w:hAnsi="Times New Roman" w:cs="Times New Roman"/>
        </w:rPr>
      </w:pPr>
    </w:p>
    <w:p w14:paraId="0703734D" w14:textId="3048FDB5" w:rsidR="008B2E94" w:rsidRDefault="009C3A68" w:rsidP="008B2E94">
      <w:pPr>
        <w:pStyle w:val="Paragrafoelenco"/>
        <w:ind w:left="0" w:firstLine="708"/>
        <w:jc w:val="both"/>
        <w:rPr>
          <w:rFonts w:ascii="Times New Roman" w:hAnsi="Times New Roman" w:cs="Times New Roman"/>
          <w:sz w:val="24"/>
          <w:szCs w:val="24"/>
        </w:rPr>
      </w:pPr>
      <w:r w:rsidRPr="00986265">
        <w:rPr>
          <w:rFonts w:ascii="Times New Roman" w:hAnsi="Times New Roman" w:cs="Times New Roman"/>
        </w:rPr>
        <w:t xml:space="preserve">Partiamo dalla «coscienza indipendente alla quale è essenza l’essere per sé». Non vi pare che assomigli al </w:t>
      </w:r>
      <w:r w:rsidRPr="00986265">
        <w:rPr>
          <w:rFonts w:ascii="Times New Roman" w:hAnsi="Times New Roman" w:cs="Times New Roman"/>
          <w:i/>
          <w:iCs/>
        </w:rPr>
        <w:t>cogito</w:t>
      </w:r>
      <w:r w:rsidRPr="00986265">
        <w:rPr>
          <w:rFonts w:ascii="Times New Roman" w:hAnsi="Times New Roman" w:cs="Times New Roman"/>
        </w:rPr>
        <w:t>? Ad un atto del pensare che si vuole privo di oggetto: penso, indipendentemente da cosa penso. Ma, naturalmente, non si può pensare senza pensare qualcosa. Ed eccoci dunque con l’oggetto tra i piedi, con l’oggetto necessario del nostro pensiero. Quando noi siamo l’oggetto del nostro pensiero (penso, dunque sono)</w:t>
      </w:r>
      <w:r w:rsidR="00B70D14">
        <w:rPr>
          <w:rFonts w:ascii="Times New Roman" w:hAnsi="Times New Roman" w:cs="Times New Roman"/>
        </w:rPr>
        <w:t>,</w:t>
      </w:r>
      <w:r w:rsidRPr="00986265">
        <w:rPr>
          <w:rFonts w:ascii="Times New Roman" w:hAnsi="Times New Roman" w:cs="Times New Roman"/>
        </w:rPr>
        <w:t xml:space="preserve"> ci troviamo di fronte la seconda figura: «la coscienza dipendente alla quale è essenziale la vita o l’essere per un altro.» Questo altro è tutto quello che possiamo cogliere del soggetto grammaticale dell’io penso, il soggetto supposto al </w:t>
      </w:r>
      <w:r w:rsidRPr="00986265">
        <w:rPr>
          <w:rFonts w:ascii="Times New Roman" w:hAnsi="Times New Roman" w:cs="Times New Roman"/>
          <w:i/>
          <w:iCs/>
        </w:rPr>
        <w:t>cogito</w:t>
      </w:r>
      <w:r w:rsidRPr="00986265">
        <w:rPr>
          <w:rFonts w:ascii="Times New Roman" w:hAnsi="Times New Roman" w:cs="Times New Roman"/>
        </w:rPr>
        <w:t>, e possiamo solo coglierlo attraverso l’identificazione. La posizione analitica tiene conto di questo con un movimento, con un posizionamento, che situa in uno dei quattro vertici della struttura nel posto dell’</w:t>
      </w:r>
      <w:r w:rsidRPr="00986265">
        <w:rPr>
          <w:rFonts w:ascii="Times New Roman" w:hAnsi="Times New Roman" w:cs="Times New Roman"/>
          <w:i/>
          <w:iCs/>
        </w:rPr>
        <w:t>io non penso</w:t>
      </w:r>
      <w:r w:rsidRPr="00986265">
        <w:rPr>
          <w:rFonts w:ascii="Times New Roman" w:hAnsi="Times New Roman" w:cs="Times New Roman"/>
        </w:rPr>
        <w:t>.</w:t>
      </w:r>
      <w:r w:rsidRPr="00986265">
        <w:rPr>
          <w:rStyle w:val="Rimandonotaapidipagina"/>
          <w:rFonts w:ascii="Times New Roman" w:hAnsi="Times New Roman" w:cs="Times New Roman"/>
        </w:rPr>
        <w:footnoteReference w:id="3"/>
      </w:r>
      <w:r w:rsidR="00986265">
        <w:rPr>
          <w:rFonts w:ascii="Times New Roman" w:hAnsi="Times New Roman" w:cs="Times New Roman"/>
          <w:sz w:val="24"/>
          <w:szCs w:val="24"/>
        </w:rPr>
        <w:t xml:space="preserve"> </w:t>
      </w:r>
      <w:r w:rsidRPr="00986265">
        <w:rPr>
          <w:rFonts w:ascii="Times New Roman" w:hAnsi="Times New Roman" w:cs="Times New Roman"/>
        </w:rPr>
        <w:t xml:space="preserve">Questo significa che nel discorso della Psicoanalisi non siamo di fronte ad una dialettica tra il soggetto del </w:t>
      </w:r>
      <w:r w:rsidRPr="00986265">
        <w:rPr>
          <w:rFonts w:ascii="Times New Roman" w:hAnsi="Times New Roman" w:cs="Times New Roman"/>
          <w:i/>
          <w:iCs/>
        </w:rPr>
        <w:t>cogito</w:t>
      </w:r>
      <w:r w:rsidRPr="00986265">
        <w:rPr>
          <w:rFonts w:ascii="Times New Roman" w:hAnsi="Times New Roman" w:cs="Times New Roman"/>
        </w:rPr>
        <w:t xml:space="preserve">, il soggetto supposto al </w:t>
      </w:r>
      <w:r w:rsidRPr="00561765">
        <w:rPr>
          <w:rFonts w:ascii="Times New Roman" w:hAnsi="Times New Roman" w:cs="Times New Roman"/>
          <w:i/>
          <w:iCs/>
        </w:rPr>
        <w:t>cogito</w:t>
      </w:r>
      <w:r w:rsidRPr="00986265">
        <w:rPr>
          <w:rFonts w:ascii="Times New Roman" w:hAnsi="Times New Roman" w:cs="Times New Roman"/>
        </w:rPr>
        <w:t xml:space="preserve">, e l’Io del quale l’autocoscienza proietta la tesi. Il loro rapporto non è dialettico. La loro contrapposizione è un’apparenza, dietro la quale si maschera il motore reale del nostro funzionamento psichico. Si tratta di un reale, che come è proprio del Reale </w:t>
      </w:r>
      <w:r w:rsidR="00BF4A29">
        <w:rPr>
          <w:rFonts w:ascii="Times New Roman" w:hAnsi="Times New Roman" w:cs="Times New Roman"/>
        </w:rPr>
        <w:t>in sé</w:t>
      </w:r>
      <w:r w:rsidRPr="00986265">
        <w:rPr>
          <w:rFonts w:ascii="Times New Roman" w:hAnsi="Times New Roman" w:cs="Times New Roman"/>
        </w:rPr>
        <w:t xml:space="preserve">, in quanto tale, non può che essere colto attraverso un sembiante: il sembiante dei quattro discorsi. </w:t>
      </w:r>
    </w:p>
    <w:p w14:paraId="694B4248" w14:textId="77777777" w:rsidR="008B2E94" w:rsidRDefault="008B2E94" w:rsidP="008B2E94">
      <w:pPr>
        <w:pStyle w:val="Paragrafoelenco"/>
        <w:ind w:left="0" w:firstLine="708"/>
        <w:jc w:val="both"/>
        <w:rPr>
          <w:rFonts w:ascii="Times New Roman" w:hAnsi="Times New Roman" w:cs="Times New Roman"/>
          <w:sz w:val="24"/>
          <w:szCs w:val="24"/>
        </w:rPr>
      </w:pPr>
    </w:p>
    <w:p w14:paraId="7BC7AD79" w14:textId="34E72B2D" w:rsidR="008B2E94" w:rsidRPr="008B2E94" w:rsidRDefault="008B2E94" w:rsidP="008B2E94">
      <w:pPr>
        <w:pStyle w:val="Paragrafoelenco"/>
        <w:ind w:left="0" w:firstLine="708"/>
        <w:jc w:val="both"/>
        <w:rPr>
          <w:rFonts w:ascii="Times New Roman" w:hAnsi="Times New Roman" w:cs="Times New Roman"/>
        </w:rPr>
      </w:pPr>
      <w:r w:rsidRPr="008B2E94">
        <w:rPr>
          <w:rFonts w:ascii="Times New Roman" w:hAnsi="Times New Roman" w:cs="Times New Roman"/>
        </w:rPr>
        <w:t xml:space="preserve">Di questa dialettica hegeliana, di questa dialettica tra servo e signore come motore della storia, della dialettica tra le due forme dell’autocoscienza che si rincorrono in eterno, Marx dà però una lettura, che per quanto la si voglia dire hegeliana, si avvicina molto all’aver colto qualcosa del reale del processo. È il concetto di </w:t>
      </w:r>
      <w:r w:rsidRPr="008B2E94">
        <w:rPr>
          <w:rFonts w:ascii="Times New Roman" w:hAnsi="Times New Roman" w:cs="Times New Roman"/>
          <w:i/>
          <w:iCs/>
        </w:rPr>
        <w:t>plusvalore</w:t>
      </w:r>
      <w:r w:rsidRPr="008B2E94">
        <w:rPr>
          <w:rFonts w:ascii="Times New Roman" w:hAnsi="Times New Roman" w:cs="Times New Roman"/>
        </w:rPr>
        <w:t xml:space="preserve"> del quale Lacan dice che il </w:t>
      </w:r>
      <w:r w:rsidRPr="008B2E94">
        <w:rPr>
          <w:rFonts w:ascii="Times New Roman" w:hAnsi="Times New Roman" w:cs="Times New Roman"/>
          <w:i/>
          <w:iCs/>
        </w:rPr>
        <w:t>più-di-godere</w:t>
      </w:r>
      <w:r w:rsidRPr="008B2E94">
        <w:rPr>
          <w:rFonts w:ascii="Times New Roman" w:hAnsi="Times New Roman" w:cs="Times New Roman"/>
        </w:rPr>
        <w:t xml:space="preserve"> non è un’analogia, bensì un’omologia; sono proprio la stessa cosa:</w:t>
      </w:r>
    </w:p>
    <w:p w14:paraId="4360F4E2" w14:textId="77777777" w:rsidR="008B2E94" w:rsidRPr="008B2E94" w:rsidRDefault="008B2E94" w:rsidP="008B2E94">
      <w:pPr>
        <w:ind w:left="1134" w:firstLine="708"/>
        <w:jc w:val="both"/>
        <w:rPr>
          <w:rFonts w:ascii="Times New Roman" w:hAnsi="Times New Roman" w:cs="Times New Roman"/>
          <w:sz w:val="20"/>
          <w:szCs w:val="20"/>
        </w:rPr>
      </w:pPr>
      <w:r w:rsidRPr="008B2E94">
        <w:rPr>
          <w:rFonts w:ascii="Times New Roman" w:hAnsi="Times New Roman" w:cs="Times New Roman"/>
          <w:sz w:val="20"/>
          <w:szCs w:val="20"/>
        </w:rPr>
        <w:t>Il più-di-godere è intervenuto nei miei discorsi più recenti in funzione omologica rispetto al plusvalore marxista. Parlare di omologia significa dire che il loro rapporto non è di analogia. Si tratta proprio della stessa cosa. Si tratta della stessa stoffa, poiché si tratta del colpo di forbice del discorso.</w:t>
      </w:r>
      <w:r w:rsidRPr="008B2E94">
        <w:rPr>
          <w:rStyle w:val="Rimandonotaapidipagina"/>
          <w:rFonts w:ascii="Times New Roman" w:hAnsi="Times New Roman" w:cs="Times New Roman"/>
          <w:sz w:val="20"/>
          <w:szCs w:val="20"/>
        </w:rPr>
        <w:footnoteReference w:id="4"/>
      </w:r>
    </w:p>
    <w:p w14:paraId="26F3AD91" w14:textId="061DFD4C" w:rsidR="008B2E94" w:rsidRDefault="008B2E94" w:rsidP="008B2E94">
      <w:pPr>
        <w:ind w:firstLine="708"/>
        <w:jc w:val="both"/>
        <w:rPr>
          <w:rFonts w:ascii="Times New Roman" w:hAnsi="Times New Roman" w:cs="Times New Roman"/>
        </w:rPr>
      </w:pPr>
      <w:r w:rsidRPr="008B2E94">
        <w:rPr>
          <w:rFonts w:ascii="Times New Roman" w:hAnsi="Times New Roman" w:cs="Times New Roman"/>
        </w:rPr>
        <w:t xml:space="preserve">Il più-di-godere non è insomma un concetto ricalcato per analogia su quello marxiano di plusvalore. </w:t>
      </w:r>
      <w:r w:rsidRPr="008B2E94">
        <w:rPr>
          <w:rFonts w:ascii="Times New Roman" w:hAnsi="Times New Roman" w:cs="Times New Roman"/>
          <w:i/>
          <w:iCs/>
        </w:rPr>
        <w:t>Plusvalore</w:t>
      </w:r>
      <w:r w:rsidRPr="008B2E94">
        <w:rPr>
          <w:rFonts w:ascii="Times New Roman" w:hAnsi="Times New Roman" w:cs="Times New Roman"/>
        </w:rPr>
        <w:t xml:space="preserve"> e </w:t>
      </w:r>
      <w:r w:rsidRPr="008B2E94">
        <w:rPr>
          <w:rFonts w:ascii="Times New Roman" w:hAnsi="Times New Roman" w:cs="Times New Roman"/>
          <w:i/>
          <w:iCs/>
        </w:rPr>
        <w:t>più-di-godere</w:t>
      </w:r>
      <w:r w:rsidRPr="008B2E94">
        <w:rPr>
          <w:rFonts w:ascii="Times New Roman" w:hAnsi="Times New Roman" w:cs="Times New Roman"/>
        </w:rPr>
        <w:t xml:space="preserve"> sono proprio la stessa cosa.</w:t>
      </w:r>
      <w:r w:rsidR="00C47011">
        <w:rPr>
          <w:rFonts w:ascii="Times New Roman" w:hAnsi="Times New Roman" w:cs="Times New Roman"/>
        </w:rPr>
        <w:t xml:space="preserve"> E, appena un anno dopo:</w:t>
      </w:r>
    </w:p>
    <w:p w14:paraId="042E38B6" w14:textId="322854F7" w:rsidR="00C47011" w:rsidRPr="009230E6" w:rsidRDefault="00C47011" w:rsidP="009230E6">
      <w:pPr>
        <w:ind w:left="1134" w:firstLine="708"/>
        <w:jc w:val="both"/>
        <w:rPr>
          <w:rFonts w:ascii="Times New Roman" w:hAnsi="Times New Roman" w:cs="Times New Roman"/>
          <w:sz w:val="20"/>
          <w:szCs w:val="20"/>
        </w:rPr>
      </w:pPr>
      <w:r w:rsidRPr="009230E6">
        <w:rPr>
          <w:rFonts w:ascii="Times New Roman" w:hAnsi="Times New Roman" w:cs="Times New Roman"/>
          <w:sz w:val="20"/>
          <w:szCs w:val="20"/>
        </w:rPr>
        <w:t xml:space="preserve">Il piccolo </w:t>
      </w:r>
      <w:r w:rsidRPr="009230E6">
        <w:rPr>
          <w:rFonts w:ascii="Times New Roman" w:hAnsi="Times New Roman" w:cs="Times New Roman"/>
          <w:i/>
          <w:iCs/>
          <w:sz w:val="20"/>
          <w:szCs w:val="20"/>
        </w:rPr>
        <w:t>a</w:t>
      </w:r>
      <w:r w:rsidRPr="009230E6">
        <w:rPr>
          <w:rFonts w:ascii="Times New Roman" w:hAnsi="Times New Roman" w:cs="Times New Roman"/>
          <w:sz w:val="20"/>
          <w:szCs w:val="20"/>
        </w:rPr>
        <w:t xml:space="preserve"> che è la, riconosciuto come funzionante (al livello in cui si articola nel discorso </w:t>
      </w:r>
      <w:r w:rsidRPr="009230E6">
        <w:rPr>
          <w:rFonts w:ascii="Times New Roman" w:hAnsi="Times New Roman" w:cs="Times New Roman"/>
          <w:i/>
          <w:iCs/>
          <w:sz w:val="20"/>
          <w:szCs w:val="20"/>
        </w:rPr>
        <w:t>analitico</w:t>
      </w:r>
      <w:r w:rsidRPr="009230E6">
        <w:rPr>
          <w:rFonts w:ascii="Times New Roman" w:hAnsi="Times New Roman" w:cs="Times New Roman"/>
          <w:sz w:val="20"/>
          <w:szCs w:val="20"/>
        </w:rPr>
        <w:t>, non in un altro) riconosciuto in quanto più-di-godere, ebbene, è questo che Marx come scopre come ciò che succede davvero al livello del plusvalore. Poiché, naturalmente, non è Marx che ha inventato il plusvalore. Solo che prima di lui</w:t>
      </w:r>
      <w:r w:rsidR="00564BFF">
        <w:rPr>
          <w:rFonts w:ascii="Times New Roman" w:hAnsi="Times New Roman" w:cs="Times New Roman"/>
          <w:sz w:val="20"/>
          <w:szCs w:val="20"/>
        </w:rPr>
        <w:t>,</w:t>
      </w:r>
      <w:r w:rsidRPr="009230E6">
        <w:rPr>
          <w:rFonts w:ascii="Times New Roman" w:hAnsi="Times New Roman" w:cs="Times New Roman"/>
          <w:sz w:val="20"/>
          <w:szCs w:val="20"/>
        </w:rPr>
        <w:t xml:space="preserve"> nessuno sapeva quale posto avesse il plusvalore stesso, lo stesso posto ambiguo che ho appena indicato. Del lavoro di troppo, del più-di-lavoro, che cosa si paga con questo, dice Marx, se non proprio un po’ di godimento?</w:t>
      </w:r>
      <w:r w:rsidRPr="009230E6">
        <w:rPr>
          <w:rStyle w:val="Rimandonotaapidipagina"/>
          <w:rFonts w:ascii="Times New Roman" w:hAnsi="Times New Roman" w:cs="Times New Roman"/>
          <w:sz w:val="20"/>
          <w:szCs w:val="20"/>
        </w:rPr>
        <w:footnoteReference w:id="5"/>
      </w:r>
    </w:p>
    <w:p w14:paraId="25C00921" w14:textId="1CD00384" w:rsidR="008B2E94" w:rsidRPr="008B2E94" w:rsidRDefault="008B2E94" w:rsidP="008B2E94">
      <w:pPr>
        <w:jc w:val="both"/>
        <w:rPr>
          <w:rFonts w:ascii="Times New Roman" w:hAnsi="Times New Roman" w:cs="Times New Roman"/>
        </w:rPr>
      </w:pPr>
      <w:r>
        <w:rPr>
          <w:rFonts w:ascii="Times New Roman" w:hAnsi="Times New Roman" w:cs="Times New Roman"/>
          <w:sz w:val="24"/>
          <w:szCs w:val="24"/>
        </w:rPr>
        <w:tab/>
      </w:r>
      <w:r w:rsidRPr="008B2E94">
        <w:rPr>
          <w:rFonts w:ascii="Times New Roman" w:hAnsi="Times New Roman" w:cs="Times New Roman"/>
        </w:rPr>
        <w:t>Mi azzardo a dire qualcosa d</w:t>
      </w:r>
      <w:r w:rsidR="00642D45">
        <w:rPr>
          <w:rFonts w:ascii="Times New Roman" w:hAnsi="Times New Roman" w:cs="Times New Roman"/>
        </w:rPr>
        <w:t>i</w:t>
      </w:r>
      <w:r w:rsidRPr="008B2E94">
        <w:rPr>
          <w:rFonts w:ascii="Times New Roman" w:hAnsi="Times New Roman" w:cs="Times New Roman"/>
        </w:rPr>
        <w:t xml:space="preserve"> come capisco io la faccenda dal punto di vista, diciamo così, politico.</w:t>
      </w:r>
      <w:r>
        <w:rPr>
          <w:rFonts w:ascii="Times New Roman" w:hAnsi="Times New Roman" w:cs="Times New Roman"/>
        </w:rPr>
        <w:t xml:space="preserve"> La lotta di classe rovescia il sistema capitalista, lo rivoluziona. Il punto è che la Rivoluzione non comporta la caduta della funzione del plusvalore. Plusvalore </w:t>
      </w:r>
      <w:r w:rsidR="00642D45">
        <w:rPr>
          <w:rFonts w:ascii="Times New Roman" w:hAnsi="Times New Roman" w:cs="Times New Roman"/>
        </w:rPr>
        <w:t>era</w:t>
      </w:r>
      <w:r>
        <w:rPr>
          <w:rFonts w:ascii="Times New Roman" w:hAnsi="Times New Roman" w:cs="Times New Roman"/>
        </w:rPr>
        <w:t xml:space="preserve"> quello che ha finanziato la messa in orbita della cagnetta </w:t>
      </w:r>
      <w:r w:rsidR="00642D45">
        <w:rPr>
          <w:rFonts w:ascii="Times New Roman" w:hAnsi="Times New Roman" w:cs="Times New Roman"/>
        </w:rPr>
        <w:t>Laika da parte dell’URSS nel 1957, plusvalore era quello che ha finanziato la costruzione dei carri armati che hanno arrestato l’avanzata di Hitler, plusvalore era quello che ha finanziato l’apparato del PCUS e plusvalore era quello che ha finanziato le dacie dei membri del Politburo. Detto in altre parole la Rivoluzione non è stata una Rivoluzione, bensì una rivoluzione:</w:t>
      </w:r>
      <w:r w:rsidR="009230E6">
        <w:rPr>
          <w:rFonts w:ascii="Times New Roman" w:hAnsi="Times New Roman" w:cs="Times New Roman"/>
        </w:rPr>
        <w:t xml:space="preserve"> un’orbita, come un pianeta che ruoti attorno al Sole e compia un’ellissi </w:t>
      </w:r>
      <w:r w:rsidR="009230E6">
        <w:rPr>
          <w:rFonts w:ascii="Times New Roman" w:hAnsi="Times New Roman" w:cs="Times New Roman"/>
        </w:rPr>
        <w:lastRenderedPageBreak/>
        <w:t>completa per tornare allo stesso posto.</w:t>
      </w:r>
      <w:r w:rsidR="008F0FFA">
        <w:rPr>
          <w:rStyle w:val="Rimandonotaapidipagina"/>
          <w:rFonts w:ascii="Times New Roman" w:hAnsi="Times New Roman" w:cs="Times New Roman"/>
        </w:rPr>
        <w:footnoteReference w:id="6"/>
      </w:r>
      <w:r w:rsidR="00F77503">
        <w:rPr>
          <w:rFonts w:ascii="Times New Roman" w:hAnsi="Times New Roman" w:cs="Times New Roman"/>
        </w:rPr>
        <w:t xml:space="preserve"> </w:t>
      </w:r>
      <w:r w:rsidR="00FE062A">
        <w:rPr>
          <w:rFonts w:ascii="Times New Roman" w:hAnsi="Times New Roman" w:cs="Times New Roman"/>
        </w:rPr>
        <w:t>Posto legato, diciamo cos</w:t>
      </w:r>
      <w:r w:rsidR="00B44D40">
        <w:rPr>
          <w:rFonts w:ascii="Times New Roman" w:hAnsi="Times New Roman" w:cs="Times New Roman"/>
        </w:rPr>
        <w:t>ì</w:t>
      </w:r>
      <w:r w:rsidR="00FE062A">
        <w:rPr>
          <w:rFonts w:ascii="Times New Roman" w:hAnsi="Times New Roman" w:cs="Times New Roman"/>
        </w:rPr>
        <w:t>, al resto inapparente che si prod</w:t>
      </w:r>
      <w:r w:rsidR="00B44D40">
        <w:rPr>
          <w:rFonts w:ascii="Times New Roman" w:hAnsi="Times New Roman" w:cs="Times New Roman"/>
        </w:rPr>
        <w:t xml:space="preserve">uce. </w:t>
      </w:r>
      <w:r w:rsidR="00F77503">
        <w:rPr>
          <w:rFonts w:ascii="Times New Roman" w:hAnsi="Times New Roman" w:cs="Times New Roman"/>
        </w:rPr>
        <w:t>Dunque, in qualche modo</w:t>
      </w:r>
      <w:r w:rsidR="00B44D40">
        <w:rPr>
          <w:rFonts w:ascii="Times New Roman" w:hAnsi="Times New Roman" w:cs="Times New Roman"/>
        </w:rPr>
        <w:t>.</w:t>
      </w:r>
      <w:r w:rsidR="00F77503">
        <w:rPr>
          <w:rFonts w:ascii="Times New Roman" w:hAnsi="Times New Roman" w:cs="Times New Roman"/>
        </w:rPr>
        <w:t xml:space="preserve"> è della prevaricazione dell’uomo sull’uomo che si tratta. È questo che è inemendabile e la psicoanalisi certo non lo cura ma, come avviene con l’invenzione di Marx, lo rende articolabile nel discorso come un fatto di struttura.</w:t>
      </w:r>
    </w:p>
    <w:p w14:paraId="65DDC8D5" w14:textId="45C8FCA9" w:rsidR="008C244E" w:rsidRPr="00074EB1" w:rsidRDefault="008C244E" w:rsidP="00074EB1">
      <w:pPr>
        <w:ind w:firstLine="708"/>
        <w:jc w:val="both"/>
        <w:rPr>
          <w:rFonts w:ascii="Times New Roman" w:hAnsi="Times New Roman" w:cs="Times New Roman"/>
        </w:rPr>
      </w:pPr>
      <w:r w:rsidRPr="008C244E">
        <w:rPr>
          <w:rFonts w:ascii="Times New Roman" w:hAnsi="Times New Roman" w:cs="Times New Roman"/>
        </w:rPr>
        <w:t>Ora</w:t>
      </w:r>
      <w:r>
        <w:rPr>
          <w:rFonts w:ascii="Times New Roman" w:hAnsi="Times New Roman" w:cs="Times New Roman"/>
        </w:rPr>
        <w:t>, a mio modo di vedere</w:t>
      </w:r>
      <w:r w:rsidR="008B2E94" w:rsidRPr="008C244E">
        <w:rPr>
          <w:rFonts w:ascii="Times New Roman" w:hAnsi="Times New Roman" w:cs="Times New Roman"/>
        </w:rPr>
        <w:t xml:space="preserve"> non c’è modo di capire fino in fondo </w:t>
      </w:r>
      <w:r>
        <w:rPr>
          <w:rFonts w:ascii="Times New Roman" w:hAnsi="Times New Roman" w:cs="Times New Roman"/>
        </w:rPr>
        <w:t>l’</w:t>
      </w:r>
      <w:r w:rsidR="008B2E94" w:rsidRPr="008C244E">
        <w:rPr>
          <w:rFonts w:ascii="Times New Roman" w:hAnsi="Times New Roman" w:cs="Times New Roman"/>
        </w:rPr>
        <w:t>affermazione di Lacan</w:t>
      </w:r>
      <w:r>
        <w:rPr>
          <w:rFonts w:ascii="Times New Roman" w:hAnsi="Times New Roman" w:cs="Times New Roman"/>
        </w:rPr>
        <w:t xml:space="preserve"> che plusvalore e più-di godere sono proprio la stessa cosa. Non c’è modo</w:t>
      </w:r>
      <w:r w:rsidR="008B2E94" w:rsidRPr="008C244E">
        <w:rPr>
          <w:rFonts w:ascii="Times New Roman" w:hAnsi="Times New Roman" w:cs="Times New Roman"/>
        </w:rPr>
        <w:t xml:space="preserve"> se manteniamo da un lato il campo dell’economia politica e dall’altro il campo della psicoanalisi. Nella separazione tra i due campi</w:t>
      </w:r>
      <w:r>
        <w:rPr>
          <w:rFonts w:ascii="Times New Roman" w:hAnsi="Times New Roman" w:cs="Times New Roman"/>
        </w:rPr>
        <w:t xml:space="preserve"> infatti a me pare che </w:t>
      </w:r>
      <w:r w:rsidR="008B2E94" w:rsidRPr="008C244E">
        <w:rPr>
          <w:rFonts w:ascii="Times New Roman" w:hAnsi="Times New Roman" w:cs="Times New Roman"/>
        </w:rPr>
        <w:t xml:space="preserve"> </w:t>
      </w:r>
      <w:r w:rsidR="008B2E94" w:rsidRPr="008C244E">
        <w:rPr>
          <w:rFonts w:ascii="Times New Roman" w:hAnsi="Times New Roman" w:cs="Times New Roman"/>
          <w:i/>
          <w:iCs/>
        </w:rPr>
        <w:t>plusvalore</w:t>
      </w:r>
      <w:r w:rsidR="008B2E94" w:rsidRPr="008C244E">
        <w:rPr>
          <w:rFonts w:ascii="Times New Roman" w:hAnsi="Times New Roman" w:cs="Times New Roman"/>
        </w:rPr>
        <w:t xml:space="preserve"> e </w:t>
      </w:r>
      <w:r w:rsidR="008B2E94" w:rsidRPr="008C244E">
        <w:rPr>
          <w:rFonts w:ascii="Times New Roman" w:hAnsi="Times New Roman" w:cs="Times New Roman"/>
          <w:i/>
          <w:iCs/>
        </w:rPr>
        <w:t>più-di-godere</w:t>
      </w:r>
      <w:r w:rsidR="008B2E94" w:rsidRPr="008C244E">
        <w:rPr>
          <w:rFonts w:ascii="Times New Roman" w:hAnsi="Times New Roman" w:cs="Times New Roman"/>
        </w:rPr>
        <w:t xml:space="preserve"> possono solo avere tra loro un rapporto di analogia.</w:t>
      </w:r>
      <w:r>
        <w:rPr>
          <w:rFonts w:ascii="Times New Roman" w:hAnsi="Times New Roman" w:cs="Times New Roman"/>
        </w:rPr>
        <w:t xml:space="preserve"> Di questa analogia occorre ribadire il senso e il suo rapporto col godimento: i</w:t>
      </w:r>
      <w:r w:rsidRPr="008C244E">
        <w:rPr>
          <w:rFonts w:ascii="Times New Roman" w:hAnsi="Times New Roman" w:cs="Times New Roman"/>
        </w:rPr>
        <w:t>l godimento è apparente, è in piena luce. L’esclusione dai rapporti sociali della felicità fallica comporta il suo ritorno in forme simbolizzate, umanizzate. Un padrone gode di uno schiavo come di una schiava o di una donna.</w:t>
      </w:r>
      <w:r w:rsidR="00074EB1">
        <w:rPr>
          <w:rFonts w:ascii="Times New Roman" w:hAnsi="Times New Roman" w:cs="Times New Roman"/>
        </w:rPr>
        <w:t xml:space="preserve"> </w:t>
      </w:r>
      <w:r w:rsidR="00074EB1" w:rsidRPr="00074EB1">
        <w:rPr>
          <w:rFonts w:ascii="Times New Roman" w:hAnsi="Times New Roman" w:cs="Times New Roman"/>
        </w:rPr>
        <w:t>I</w:t>
      </w:r>
      <w:r w:rsidRPr="00074EB1">
        <w:rPr>
          <w:rFonts w:ascii="Times New Roman" w:hAnsi="Times New Roman" w:cs="Times New Roman"/>
        </w:rPr>
        <w:t xml:space="preserve">l godimento </w:t>
      </w:r>
      <w:r w:rsidRPr="00074EB1">
        <w:rPr>
          <w:rFonts w:ascii="Times New Roman" w:hAnsi="Times New Roman" w:cs="Times New Roman"/>
          <w:i/>
          <w:iCs/>
        </w:rPr>
        <w:t>sembra</w:t>
      </w:r>
      <w:r w:rsidRPr="00074EB1">
        <w:rPr>
          <w:rFonts w:ascii="Times New Roman" w:hAnsi="Times New Roman" w:cs="Times New Roman"/>
        </w:rPr>
        <w:t xml:space="preserve"> il motore del processo. La felicità fallica è presa a modello dal portatore del fallo, quando questo si trovi nella condizione del signore, del padrone, per fingere che sia oggetto causa di desiderio. Succede naturalmente anche agli schiavi</w:t>
      </w:r>
      <w:r w:rsidR="00074EB1">
        <w:rPr>
          <w:rFonts w:ascii="Times New Roman" w:hAnsi="Times New Roman" w:cs="Times New Roman"/>
        </w:rPr>
        <w:t xml:space="preserve">, tant’è vero che </w:t>
      </w:r>
      <w:r w:rsidR="00074EB1" w:rsidRPr="00074EB1">
        <w:rPr>
          <w:rFonts w:ascii="Times New Roman" w:hAnsi="Times New Roman" w:cs="Times New Roman"/>
        </w:rPr>
        <w:t>l</w:t>
      </w:r>
      <w:r w:rsidRPr="00074EB1">
        <w:rPr>
          <w:rFonts w:ascii="Times New Roman" w:hAnsi="Times New Roman" w:cs="Times New Roman"/>
        </w:rPr>
        <w:t>a letteratura è piena del vero terrore che la violenza della schiavitù in rivolta potesse esercitarsi sul corpo del padrone. Dalla Roma di Spartaco all’America di Jefferson è tutto un costante tentativo di mantenere invalicabile la frontiera tra servo e padrone, tra coscienza e inconscio. Ma, ci dice Lacan, questo godimento è apparente. Appare a partire dalla sua esclusione, dal fatto che gli uomini, da quando si sono costituiti in una qualche forma di relazione sociale tra loro, hanno cessato di far coincidere l’atto sessuale con la copertura di femmine in calore da parte di maschi letteralmente portati dal proprio fallo. Con il legame sociale il maschio ne è piuttosto diventato il portatore ne è, ribadisce Lacan, ingombrato.</w:t>
      </w:r>
      <w:r w:rsidR="00074EB1">
        <w:rPr>
          <w:rFonts w:ascii="Times New Roman" w:hAnsi="Times New Roman" w:cs="Times New Roman"/>
        </w:rPr>
        <w:t xml:space="preserve"> </w:t>
      </w:r>
      <w:r w:rsidRPr="00074EB1">
        <w:rPr>
          <w:rFonts w:ascii="Times New Roman" w:hAnsi="Times New Roman" w:cs="Times New Roman"/>
        </w:rPr>
        <w:t xml:space="preserve">Ciò che guida il legame sociale, dunque, non è il godimento fallico della cui esclusione abbiamo detto, ma il più-di-godere. Quel che c’è non è </w:t>
      </w:r>
      <w:r w:rsidRPr="00074EB1">
        <w:rPr>
          <w:rFonts w:ascii="Times New Roman" w:hAnsi="Times New Roman" w:cs="Times New Roman"/>
          <w:i/>
          <w:iCs/>
        </w:rPr>
        <w:t>invece,</w:t>
      </w:r>
      <w:r w:rsidRPr="00074EB1">
        <w:rPr>
          <w:rFonts w:ascii="Times New Roman" w:hAnsi="Times New Roman" w:cs="Times New Roman"/>
        </w:rPr>
        <w:t xml:space="preserve"> ma </w:t>
      </w:r>
      <w:r w:rsidRPr="00074EB1">
        <w:rPr>
          <w:rFonts w:ascii="Times New Roman" w:hAnsi="Times New Roman" w:cs="Times New Roman"/>
          <w:i/>
          <w:iCs/>
        </w:rPr>
        <w:t>oltre</w:t>
      </w:r>
      <w:r w:rsidRPr="00074EB1">
        <w:rPr>
          <w:rFonts w:ascii="Times New Roman" w:hAnsi="Times New Roman" w:cs="Times New Roman"/>
        </w:rPr>
        <w:t xml:space="preserve"> il godimento.</w:t>
      </w:r>
    </w:p>
    <w:p w14:paraId="086E8D97" w14:textId="77777777" w:rsidR="008C244E" w:rsidRPr="00074EB1" w:rsidRDefault="008C244E" w:rsidP="008C244E">
      <w:pPr>
        <w:ind w:firstLine="708"/>
        <w:jc w:val="both"/>
        <w:rPr>
          <w:rFonts w:ascii="Times New Roman" w:hAnsi="Times New Roman" w:cs="Times New Roman"/>
        </w:rPr>
      </w:pPr>
      <w:r w:rsidRPr="00074EB1">
        <w:rPr>
          <w:rFonts w:ascii="Times New Roman" w:hAnsi="Times New Roman" w:cs="Times New Roman"/>
        </w:rPr>
        <w:t>Fin qui l’analogia. Ma perché Lacan ci dice che si tratta invece di omologia? Che plusvalore e più-di-godimento sono proprio la stessa cosa? Per tentare di rispondere a questa domanda dobbiamo far ricorso ai matemi e, in particolare, al loro essere tutt’altro che risolutivi della questione.</w:t>
      </w:r>
    </w:p>
    <w:p w14:paraId="143A9726" w14:textId="77777777" w:rsidR="008C244E" w:rsidRPr="00074EB1" w:rsidRDefault="00000000" w:rsidP="008C244E">
      <w:pPr>
        <w:jc w:val="both"/>
        <w:rPr>
          <w:rFonts w:ascii="Times New Roman" w:hAnsi="Times New Roman" w:cs="Times New Roman"/>
        </w:rPr>
      </w:pP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1</m:t>
                </m:r>
              </m:sub>
            </m:sSub>
            <m:r>
              <w:rPr>
                <w:rFonts w:ascii="Cambria Math" w:hAnsi="Cambria Math" w:cs="Times New Roman"/>
              </w:rPr>
              <m:t>→</m:t>
            </m:r>
          </m:num>
          <m:den>
            <m:r>
              <w:rPr>
                <w:rFonts w:ascii="Cambria Math" w:hAnsi="Cambria Math" w:cs="Times New Roman"/>
              </w:rPr>
              <m:t>$</m:t>
            </m:r>
          </m:den>
        </m:f>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2</m:t>
                </m:r>
              </m:sub>
            </m:sSub>
          </m:num>
          <m:den>
            <m:r>
              <w:rPr>
                <w:rFonts w:ascii="Cambria Math" w:hAnsi="Cambria Math" w:cs="Times New Roman"/>
              </w:rPr>
              <m:t>a</m:t>
            </m:r>
          </m:den>
        </m:f>
      </m:oMath>
      <w:r w:rsidR="008C244E" w:rsidRPr="00074EB1">
        <w:rPr>
          <w:rFonts w:ascii="Times New Roman" w:eastAsiaTheme="minorEastAsia" w:hAnsi="Times New Roman" w:cs="Times New Roman"/>
        </w:rPr>
        <w:t xml:space="preserve"> discorso del Padrone</w:t>
      </w:r>
    </w:p>
    <w:p w14:paraId="26C5569C" w14:textId="77777777" w:rsidR="008C244E" w:rsidRPr="00074EB1" w:rsidRDefault="00000000" w:rsidP="008C244E">
      <w:pPr>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num>
          <m:den>
            <m:r>
              <w:rPr>
                <w:rFonts w:ascii="Cambria Math" w:hAnsi="Cambria Math" w:cs="Times New Roman"/>
              </w:rPr>
              <m:t>a</m:t>
            </m:r>
          </m:den>
        </m:f>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2</m:t>
                </m:r>
              </m:sub>
            </m:sSub>
          </m:den>
        </m:f>
      </m:oMath>
      <w:r w:rsidR="008C244E" w:rsidRPr="00074EB1">
        <w:rPr>
          <w:rFonts w:ascii="Times New Roman" w:eastAsiaTheme="minorEastAsia" w:hAnsi="Times New Roman" w:cs="Times New Roman"/>
        </w:rPr>
        <w:t xml:space="preserve"> discorso dell’Isteria</w:t>
      </w:r>
    </w:p>
    <w:p w14:paraId="7B987549" w14:textId="77777777" w:rsidR="008C244E" w:rsidRPr="00074EB1" w:rsidRDefault="00000000" w:rsidP="008C244E">
      <w:pPr>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2</m:t>
                </m:r>
              </m:sub>
            </m:sSub>
          </m:den>
        </m:f>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2</m:t>
                </m:r>
              </m:sub>
            </m:sSub>
          </m:den>
        </m:f>
      </m:oMath>
      <w:r w:rsidR="008C244E" w:rsidRPr="00074EB1">
        <w:rPr>
          <w:rFonts w:ascii="Times New Roman" w:eastAsiaTheme="minorEastAsia" w:hAnsi="Times New Roman" w:cs="Times New Roman"/>
        </w:rPr>
        <w:t xml:space="preserve"> discorso dell’Analista</w:t>
      </w:r>
    </w:p>
    <w:p w14:paraId="22D870D3" w14:textId="77777777" w:rsidR="008C244E" w:rsidRPr="00074EB1" w:rsidRDefault="00000000" w:rsidP="008C244E">
      <w:pPr>
        <w:jc w:val="both"/>
        <w:rPr>
          <w:rFonts w:ascii="Times New Roman" w:hAnsi="Times New Roman" w:cs="Times New Roman"/>
        </w:rPr>
      </w:pP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2</m:t>
                </m:r>
              </m:sub>
            </m:sSub>
            <m:r>
              <w:rPr>
                <w:rFonts w:ascii="Cambria Math" w:hAnsi="Cambria Math" w:cs="Times New Roman"/>
              </w:rPr>
              <m:t>→</m:t>
            </m:r>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1</m:t>
                </m:r>
              </m:sub>
            </m:sSub>
          </m:den>
        </m:f>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a</m:t>
            </m:r>
          </m:num>
          <m:den>
            <m:r>
              <w:rPr>
                <w:rFonts w:ascii="Cambria Math" w:hAnsi="Cambria Math" w:cs="Times New Roman"/>
              </w:rPr>
              <m:t>$</m:t>
            </m:r>
          </m:den>
        </m:f>
      </m:oMath>
      <w:r w:rsidR="008C244E" w:rsidRPr="00074EB1">
        <w:rPr>
          <w:rFonts w:ascii="Times New Roman" w:eastAsiaTheme="minorEastAsia" w:hAnsi="Times New Roman" w:cs="Times New Roman"/>
        </w:rPr>
        <w:t xml:space="preserve"> discorso dell’Università</w:t>
      </w:r>
    </w:p>
    <w:p w14:paraId="646D1981" w14:textId="77777777" w:rsidR="008C244E" w:rsidRPr="00074EB1" w:rsidRDefault="008C244E" w:rsidP="008C244E">
      <w:pPr>
        <w:jc w:val="both"/>
        <w:rPr>
          <w:rFonts w:ascii="Times New Roman" w:hAnsi="Times New Roman" w:cs="Times New Roman"/>
        </w:rPr>
      </w:pPr>
    </w:p>
    <w:p w14:paraId="38C7225B" w14:textId="77777777" w:rsidR="00074EB1" w:rsidRDefault="008C244E" w:rsidP="00074EB1">
      <w:pPr>
        <w:ind w:firstLine="708"/>
        <w:jc w:val="both"/>
        <w:rPr>
          <w:rFonts w:ascii="Times New Roman" w:hAnsi="Times New Roman" w:cs="Times New Roman"/>
        </w:rPr>
      </w:pPr>
      <w:r w:rsidRPr="00074EB1">
        <w:rPr>
          <w:rFonts w:ascii="Times New Roman" w:hAnsi="Times New Roman" w:cs="Times New Roman"/>
        </w:rPr>
        <w:t>È solo nella formalizzazione che l’omologia può prendere senso. Per farmi capire faccio un esempio:</w:t>
      </w:r>
    </w:p>
    <w:p w14:paraId="41D00539" w14:textId="4A7DDB2B" w:rsidR="00074EB1" w:rsidRPr="00074EB1" w:rsidRDefault="008C244E" w:rsidP="00074EB1">
      <w:pPr>
        <w:ind w:firstLine="708"/>
        <w:jc w:val="both"/>
        <w:rPr>
          <w:rFonts w:ascii="Times New Roman" w:hAnsi="Times New Roman" w:cs="Times New Roman"/>
          <w:i/>
          <w:iCs/>
        </w:rPr>
      </w:pPr>
      <w:r w:rsidRPr="00074EB1">
        <w:rPr>
          <w:rFonts w:ascii="Times New Roman" w:hAnsi="Times New Roman" w:cs="Times New Roman"/>
          <w:i/>
          <w:iCs/>
        </w:rPr>
        <w:t>cane: cuccia = uccello : nido</w:t>
      </w:r>
    </w:p>
    <w:p w14:paraId="3E15F9A7" w14:textId="77777777" w:rsidR="00074EB1" w:rsidRDefault="008C244E" w:rsidP="00074EB1">
      <w:pPr>
        <w:ind w:firstLine="708"/>
        <w:jc w:val="both"/>
        <w:rPr>
          <w:rFonts w:ascii="Times New Roman" w:hAnsi="Times New Roman" w:cs="Times New Roman"/>
        </w:rPr>
      </w:pPr>
      <w:r w:rsidRPr="00074EB1">
        <w:rPr>
          <w:rFonts w:ascii="Times New Roman" w:hAnsi="Times New Roman" w:cs="Times New Roman"/>
        </w:rPr>
        <w:t xml:space="preserve">che, </w:t>
      </w:r>
      <w:r w:rsidR="00074EB1">
        <w:rPr>
          <w:rFonts w:ascii="Times New Roman" w:hAnsi="Times New Roman" w:cs="Times New Roman"/>
        </w:rPr>
        <w:t xml:space="preserve">ulteriormente </w:t>
      </w:r>
      <w:r w:rsidRPr="00074EB1">
        <w:rPr>
          <w:rFonts w:ascii="Times New Roman" w:hAnsi="Times New Roman" w:cs="Times New Roman"/>
        </w:rPr>
        <w:t>formalizzato, diventa</w:t>
      </w:r>
      <w:r w:rsidR="00074EB1">
        <w:rPr>
          <w:rFonts w:ascii="Times New Roman" w:hAnsi="Times New Roman" w:cs="Times New Roman"/>
        </w:rPr>
        <w:t>:</w:t>
      </w:r>
    </w:p>
    <w:p w14:paraId="05D4AD97" w14:textId="4B1428C3" w:rsidR="00074EB1" w:rsidRDefault="008C244E" w:rsidP="00074EB1">
      <w:pPr>
        <w:ind w:firstLine="708"/>
        <w:jc w:val="both"/>
        <w:rPr>
          <w:rFonts w:ascii="Times New Roman" w:hAnsi="Times New Roman" w:cs="Times New Roman"/>
        </w:rPr>
      </w:pPr>
      <w:r w:rsidRPr="00074EB1">
        <w:rPr>
          <w:rFonts w:ascii="Times New Roman" w:hAnsi="Times New Roman" w:cs="Times New Roman"/>
          <w:i/>
          <w:iCs/>
        </w:rPr>
        <w:t>A : B = C : D</w:t>
      </w:r>
      <w:r w:rsidRPr="00074EB1">
        <w:rPr>
          <w:rFonts w:ascii="Times New Roman" w:hAnsi="Times New Roman" w:cs="Times New Roman"/>
        </w:rPr>
        <w:t>.</w:t>
      </w:r>
    </w:p>
    <w:p w14:paraId="42D73295" w14:textId="77777777" w:rsidR="00074EB1" w:rsidRDefault="008C244E" w:rsidP="00074EB1">
      <w:pPr>
        <w:ind w:firstLine="708"/>
        <w:jc w:val="both"/>
        <w:rPr>
          <w:rFonts w:ascii="Times New Roman" w:hAnsi="Times New Roman" w:cs="Times New Roman"/>
        </w:rPr>
      </w:pPr>
      <w:r w:rsidRPr="00074EB1">
        <w:rPr>
          <w:rFonts w:ascii="Times New Roman" w:hAnsi="Times New Roman" w:cs="Times New Roman"/>
        </w:rPr>
        <w:t>Nel primo caso le parole indicano degli oggetti del mondo per cui capiamo la proporzione a partire dal senso delle parole. A nessuno verrebbe mai da scrivere: balena : scrivania = penna : fotografia. Non ha senso. Ma se passiamo all’algebrizzazione, A,B,C, e D possono indicare qualsiasi cosa. La cosa che la proporzione fissa, la cosa alla quale la proporzione obbliga sono i rapporti tra gli elementi indicati. E qui sta il problema.</w:t>
      </w:r>
    </w:p>
    <w:p w14:paraId="4878554F" w14:textId="101143D2" w:rsidR="008C244E" w:rsidRPr="00074EB1" w:rsidRDefault="008C244E" w:rsidP="00074EB1">
      <w:pPr>
        <w:ind w:firstLine="708"/>
        <w:jc w:val="both"/>
        <w:rPr>
          <w:rFonts w:ascii="Times New Roman" w:hAnsi="Times New Roman" w:cs="Times New Roman"/>
        </w:rPr>
      </w:pPr>
      <w:r w:rsidRPr="00074EB1">
        <w:rPr>
          <w:rFonts w:ascii="Times New Roman" w:hAnsi="Times New Roman" w:cs="Times New Roman"/>
        </w:rPr>
        <w:lastRenderedPageBreak/>
        <w:t>Lacan, come Martin Luther King, aveva un sogno. Il suo sogno era che il campo del godimento finisse per chiamarsi «campo lacaniano». Non si tratta</w:t>
      </w:r>
      <w:r w:rsidR="00074EB1">
        <w:rPr>
          <w:rFonts w:ascii="Times New Roman" w:hAnsi="Times New Roman" w:cs="Times New Roman"/>
        </w:rPr>
        <w:t>va</w:t>
      </w:r>
      <w:r w:rsidRPr="00074EB1">
        <w:rPr>
          <w:rFonts w:ascii="Times New Roman" w:hAnsi="Times New Roman" w:cs="Times New Roman"/>
        </w:rPr>
        <w:t xml:space="preserve"> di smania di protagonismo, voleva </w:t>
      </w:r>
      <w:r w:rsidR="00074EB1">
        <w:rPr>
          <w:rFonts w:ascii="Times New Roman" w:hAnsi="Times New Roman" w:cs="Times New Roman"/>
        </w:rPr>
        <w:t xml:space="preserve">piuttosto </w:t>
      </w:r>
      <w:r w:rsidRPr="00074EB1">
        <w:rPr>
          <w:rFonts w:ascii="Times New Roman" w:hAnsi="Times New Roman" w:cs="Times New Roman"/>
        </w:rPr>
        <w:t>fondare scientificamente la psicoanalisi, come Marx aveva fondato l’economia politica. Voleva aprire il campo a matemi che introducessero delle notazioni algebriche capaci di guidare operazioni logiche senza il riferimento ingombrante e fuorviante al godimento del senso che, come sapete si trova nello spazio del nodo definito dalla sovrapposizione dell’Immaginario e del Simbolico: nessun rapporto col Reale.</w:t>
      </w:r>
    </w:p>
    <w:p w14:paraId="4B6DA3AC" w14:textId="77777777" w:rsidR="008C244E" w:rsidRPr="00074EB1" w:rsidRDefault="008C244E" w:rsidP="008C244E">
      <w:pPr>
        <w:jc w:val="both"/>
        <w:rPr>
          <w:rFonts w:ascii="Times New Roman" w:hAnsi="Times New Roman" w:cs="Times New Roman"/>
        </w:rPr>
      </w:pPr>
      <w:r w:rsidRPr="00074EB1">
        <w:rPr>
          <w:rFonts w:ascii="Times New Roman" w:hAnsi="Times New Roman" w:cs="Times New Roman"/>
          <w:noProof/>
        </w:rPr>
        <w:drawing>
          <wp:inline distT="0" distB="0" distL="0" distR="0" wp14:anchorId="0F2A08F1" wp14:editId="5AA5B7D4">
            <wp:extent cx="2314575" cy="1971675"/>
            <wp:effectExtent l="0" t="0" r="9525" b="9525"/>
            <wp:docPr id="544610538" name="Immagine 1" descr="Immagine che contiene schizzo, diagramma, cerchio,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10538" name="Immagine 1" descr="Immagine che contiene schizzo, diagramma, cerchio, disegn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2314575" cy="1971675"/>
                    </a:xfrm>
                    <a:prstGeom prst="rect">
                      <a:avLst/>
                    </a:prstGeom>
                  </pic:spPr>
                </pic:pic>
              </a:graphicData>
            </a:graphic>
          </wp:inline>
        </w:drawing>
      </w:r>
    </w:p>
    <w:p w14:paraId="482CCD82" w14:textId="77777777" w:rsidR="008C244E" w:rsidRPr="00074EB1" w:rsidRDefault="008C244E" w:rsidP="008C244E">
      <w:pPr>
        <w:jc w:val="both"/>
        <w:rPr>
          <w:rFonts w:ascii="Times New Roman" w:hAnsi="Times New Roman" w:cs="Times New Roman"/>
        </w:rPr>
      </w:pPr>
    </w:p>
    <w:p w14:paraId="79D4CDC3" w14:textId="5BEA6A33" w:rsidR="008C244E" w:rsidRPr="00074EB1" w:rsidRDefault="008C244E" w:rsidP="00D17995">
      <w:pPr>
        <w:ind w:firstLine="708"/>
        <w:jc w:val="both"/>
        <w:rPr>
          <w:rFonts w:ascii="Times New Roman" w:hAnsi="Times New Roman" w:cs="Times New Roman"/>
        </w:rPr>
      </w:pPr>
      <w:r w:rsidRPr="00074EB1">
        <w:rPr>
          <w:rFonts w:ascii="Times New Roman" w:hAnsi="Times New Roman" w:cs="Times New Roman"/>
        </w:rPr>
        <w:t>Di questo tentativo prevedeva lo scacco: «non si chiamerà mai campo lacaniano in quanto sicuramente non ne avrò il tempo…»</w:t>
      </w:r>
      <w:r w:rsidRPr="00074EB1">
        <w:rPr>
          <w:rFonts w:ascii="Times New Roman" w:hAnsi="Times New Roman" w:cs="Times New Roman"/>
          <w:vertAlign w:val="superscript"/>
        </w:rPr>
        <w:footnoteReference w:id="7"/>
      </w:r>
      <w:r w:rsidRPr="00074EB1">
        <w:rPr>
          <w:rFonts w:ascii="Times New Roman" w:hAnsi="Times New Roman" w:cs="Times New Roman"/>
        </w:rPr>
        <w:t xml:space="preserve">. </w:t>
      </w:r>
      <w:r w:rsidR="00D17995" w:rsidRPr="00D17995">
        <w:rPr>
          <w:rFonts w:ascii="Times New Roman" w:eastAsia="Aptos" w:hAnsi="Times New Roman" w:cs="Times New Roman"/>
        </w:rPr>
        <w:t>È il fallimento preconizzato del campo lacaniano, fallimento che Lacan intravedeva al di là del proprio desiderio.</w:t>
      </w:r>
      <w:r w:rsidR="00741D86">
        <w:rPr>
          <w:rFonts w:ascii="Times New Roman" w:eastAsia="Aptos" w:hAnsi="Times New Roman" w:cs="Times New Roman"/>
        </w:rPr>
        <w:t xml:space="preserve"> </w:t>
      </w:r>
      <w:r w:rsidRPr="00074EB1">
        <w:rPr>
          <w:rFonts w:ascii="Times New Roman" w:hAnsi="Times New Roman" w:cs="Times New Roman"/>
        </w:rPr>
        <w:t xml:space="preserve">Questo non gli ha impedito però di continuare a lavorare, di continuare a pensare che nei matemi potesse trovarsi la chiave per dire qualcosa di nuovo, in particolare definire una funzione, il più-di-godimento, che in quanto funzione algebrica, matematizzata, potesse dire qualcosa del reale di ciò che la nozione di godimento nasconde. È un vecchio sogno che, malgrado il positivismo di Freud, si inaugura comunque con la scrittura di </w:t>
      </w:r>
      <w:r w:rsidRPr="00074EB1">
        <w:rPr>
          <w:rFonts w:ascii="Times New Roman" w:hAnsi="Times New Roman" w:cs="Times New Roman"/>
          <w:i/>
          <w:iCs/>
        </w:rPr>
        <w:t>Psicologia delle masse e analisi dell’io</w:t>
      </w:r>
      <w:r w:rsidRPr="00074EB1">
        <w:rPr>
          <w:rFonts w:ascii="Times New Roman" w:hAnsi="Times New Roman" w:cs="Times New Roman"/>
        </w:rPr>
        <w:t>, ed è un sogno che siamo tenuti a continuare a sognare, obbligati, come siamo, a farcene qualcosa dell’insegnamento di Freud e di Lacan.</w:t>
      </w:r>
    </w:p>
    <w:p w14:paraId="1E827AEA" w14:textId="5796129D" w:rsidR="00D17995" w:rsidRPr="00D17995" w:rsidRDefault="00D17995" w:rsidP="00D17995">
      <w:pPr>
        <w:ind w:firstLine="708"/>
        <w:jc w:val="both"/>
      </w:pPr>
      <w:r>
        <w:rPr>
          <w:rFonts w:ascii="Times New Roman" w:eastAsia="Aptos" w:hAnsi="Times New Roman" w:cs="Times New Roman"/>
        </w:rPr>
        <w:t>Oggi si</w:t>
      </w:r>
      <w:r w:rsidRPr="00D17995">
        <w:rPr>
          <w:rFonts w:ascii="Times New Roman" w:eastAsia="Aptos" w:hAnsi="Times New Roman" w:cs="Times New Roman"/>
        </w:rPr>
        <w:t xml:space="preserve"> tratta per noi di mantenere vivo quel desiderio e limitare il proprio, il nostro godimento, a stare nella posizione di un oggetto di scarto, di un oggetto inutile, di un oggetto, per usare la parola che si impone, perduto</w:t>
      </w:r>
      <w:r>
        <w:rPr>
          <w:rFonts w:ascii="Times New Roman" w:eastAsia="Aptos" w:hAnsi="Times New Roman" w:cs="Times New Roman"/>
        </w:rPr>
        <w:t xml:space="preserve"> e, come sempre,</w:t>
      </w:r>
      <w:r>
        <w:t xml:space="preserve"> </w:t>
      </w:r>
      <w:r w:rsidRPr="00D17995">
        <w:rPr>
          <w:rFonts w:ascii="Times New Roman" w:eastAsia="Aptos" w:hAnsi="Times New Roman" w:cs="Times New Roman"/>
        </w:rPr>
        <w:t>Lacan ci viene in soccorso, ci viene dolorosamente in aiuto: «L’essenziale non è sicuramente di rifare di questo elemento un elemento di padronanza e di dominio, poiché come vi spiegherò, tutto gira attorno all’insuccesso.»</w:t>
      </w:r>
      <w:r w:rsidRPr="00D17995">
        <w:rPr>
          <w:rFonts w:ascii="Times New Roman" w:eastAsia="Aptos" w:hAnsi="Times New Roman" w:cs="Times New Roman"/>
          <w:vertAlign w:val="superscript"/>
        </w:rPr>
        <w:footnoteReference w:id="8"/>
      </w:r>
      <w:r>
        <w:rPr>
          <w:rFonts w:ascii="Times New Roman" w:eastAsia="Aptos" w:hAnsi="Times New Roman" w:cs="Times New Roman"/>
        </w:rPr>
        <w:t xml:space="preserve"> Insuccesso aggiungerò, e con questo concludo, che no</w:t>
      </w:r>
      <w:r w:rsidR="00D61398">
        <w:rPr>
          <w:rFonts w:ascii="Times New Roman" w:eastAsia="Aptos" w:hAnsi="Times New Roman" w:cs="Times New Roman"/>
        </w:rPr>
        <w:t>n</w:t>
      </w:r>
      <w:r>
        <w:rPr>
          <w:rFonts w:ascii="Times New Roman" w:eastAsia="Aptos" w:hAnsi="Times New Roman" w:cs="Times New Roman"/>
        </w:rPr>
        <w:t xml:space="preserve"> è una forma di impotenza, bensì il portato necessario di un impossibile.</w:t>
      </w:r>
    </w:p>
    <w:p w14:paraId="7C05B7B1" w14:textId="77777777" w:rsidR="00D17995" w:rsidRPr="00074EB1" w:rsidRDefault="00D17995" w:rsidP="008C244E">
      <w:pPr>
        <w:jc w:val="both"/>
      </w:pPr>
    </w:p>
    <w:p w14:paraId="74A23DCE" w14:textId="77777777" w:rsidR="008C244E" w:rsidRDefault="008C244E" w:rsidP="008C244E">
      <w:pPr>
        <w:rPr>
          <w:rFonts w:cstheme="minorHAnsi"/>
        </w:rPr>
      </w:pPr>
      <w:r>
        <w:rPr>
          <w:rFonts w:cstheme="minorHAnsi"/>
        </w:rPr>
        <w:br w:type="page"/>
      </w:r>
    </w:p>
    <w:p w14:paraId="2426ED38" w14:textId="77777777" w:rsidR="008C244E" w:rsidRPr="008C244E" w:rsidRDefault="008C244E" w:rsidP="008C244E">
      <w:pPr>
        <w:ind w:firstLine="708"/>
        <w:jc w:val="both"/>
        <w:rPr>
          <w:rFonts w:ascii="Times New Roman" w:hAnsi="Times New Roman" w:cs="Times New Roman"/>
        </w:rPr>
      </w:pPr>
    </w:p>
    <w:p w14:paraId="359B68B9" w14:textId="77777777" w:rsidR="008B2E94" w:rsidRPr="002B59E8" w:rsidRDefault="008B2E94" w:rsidP="002B59E8">
      <w:pPr>
        <w:jc w:val="both"/>
        <w:rPr>
          <w:rFonts w:ascii="Times New Roman" w:hAnsi="Times New Roman" w:cs="Times New Roman"/>
        </w:rPr>
      </w:pPr>
    </w:p>
    <w:sectPr w:rsidR="008B2E94" w:rsidRPr="002B59E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F2C6" w14:textId="77777777" w:rsidR="00815E5B" w:rsidRDefault="00815E5B" w:rsidP="002B59E8">
      <w:pPr>
        <w:spacing w:after="0" w:line="240" w:lineRule="auto"/>
      </w:pPr>
      <w:r>
        <w:separator/>
      </w:r>
    </w:p>
  </w:endnote>
  <w:endnote w:type="continuationSeparator" w:id="0">
    <w:p w14:paraId="3CE3AD3B" w14:textId="77777777" w:rsidR="00815E5B" w:rsidRDefault="00815E5B" w:rsidP="002B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7C255" w14:textId="77777777" w:rsidR="00815E5B" w:rsidRDefault="00815E5B" w:rsidP="002B59E8">
      <w:pPr>
        <w:spacing w:after="0" w:line="240" w:lineRule="auto"/>
      </w:pPr>
      <w:r>
        <w:separator/>
      </w:r>
    </w:p>
  </w:footnote>
  <w:footnote w:type="continuationSeparator" w:id="0">
    <w:p w14:paraId="32709B0E" w14:textId="77777777" w:rsidR="00815E5B" w:rsidRDefault="00815E5B" w:rsidP="002B59E8">
      <w:pPr>
        <w:spacing w:after="0" w:line="240" w:lineRule="auto"/>
      </w:pPr>
      <w:r>
        <w:continuationSeparator/>
      </w:r>
    </w:p>
  </w:footnote>
  <w:footnote w:id="1">
    <w:p w14:paraId="49C10E88" w14:textId="75C1CB99" w:rsidR="002B59E8" w:rsidRPr="009C3A68" w:rsidRDefault="002B59E8">
      <w:pPr>
        <w:pStyle w:val="Testonotaapidipagina"/>
        <w:rPr>
          <w:rFonts w:ascii="Times New Roman" w:hAnsi="Times New Roman" w:cs="Times New Roman"/>
        </w:rPr>
      </w:pPr>
      <w:r w:rsidRPr="009C3A68">
        <w:rPr>
          <w:rStyle w:val="Rimandonotaapidipagina"/>
          <w:rFonts w:ascii="Times New Roman" w:hAnsi="Times New Roman" w:cs="Times New Roman"/>
        </w:rPr>
        <w:footnoteRef/>
      </w:r>
      <w:r w:rsidRPr="009C3A68">
        <w:rPr>
          <w:rFonts w:ascii="Times New Roman" w:hAnsi="Times New Roman" w:cs="Times New Roman"/>
        </w:rPr>
        <w:t xml:space="preserve"> J. Lacan, </w:t>
      </w:r>
      <w:r w:rsidRPr="009C3A68">
        <w:rPr>
          <w:rFonts w:ascii="Times New Roman" w:hAnsi="Times New Roman" w:cs="Times New Roman"/>
          <w:i/>
          <w:iCs/>
        </w:rPr>
        <w:t>L’acte psychanalytique, Séminaire 1967 – 1968</w:t>
      </w:r>
      <w:r w:rsidRPr="009C3A68">
        <w:rPr>
          <w:rFonts w:ascii="Times New Roman" w:hAnsi="Times New Roman" w:cs="Times New Roman"/>
        </w:rPr>
        <w:t>, Edizione fuori commercio dell’</w:t>
      </w:r>
      <w:r w:rsidRPr="009C3A68">
        <w:rPr>
          <w:rFonts w:ascii="Times New Roman" w:hAnsi="Times New Roman" w:cs="Times New Roman"/>
          <w:i/>
          <w:iCs/>
        </w:rPr>
        <w:t xml:space="preserve">Association Lacanienne Internationale, </w:t>
      </w:r>
      <w:r w:rsidRPr="009C3A68">
        <w:rPr>
          <w:rFonts w:ascii="Times New Roman" w:hAnsi="Times New Roman" w:cs="Times New Roman"/>
        </w:rPr>
        <w:t>Lezione del 17 gennaio 1968, p. 103.</w:t>
      </w:r>
    </w:p>
  </w:footnote>
  <w:footnote w:id="2">
    <w:p w14:paraId="18E7EFEF" w14:textId="77777777" w:rsidR="009C3A68" w:rsidRPr="009C3A68" w:rsidRDefault="009C3A68" w:rsidP="009C3A68">
      <w:pPr>
        <w:pStyle w:val="Testonotaapidipagina"/>
        <w:rPr>
          <w:rFonts w:ascii="Times New Roman" w:hAnsi="Times New Roman" w:cs="Times New Roman"/>
        </w:rPr>
      </w:pPr>
      <w:r w:rsidRPr="009C3A68">
        <w:rPr>
          <w:rStyle w:val="Rimandonotaapidipagina"/>
          <w:rFonts w:ascii="Times New Roman" w:hAnsi="Times New Roman" w:cs="Times New Roman"/>
        </w:rPr>
        <w:footnoteRef/>
      </w:r>
      <w:r w:rsidRPr="009C3A68">
        <w:rPr>
          <w:rFonts w:ascii="Times New Roman" w:hAnsi="Times New Roman" w:cs="Times New Roman"/>
        </w:rPr>
        <w:t xml:space="preserve"> G. W. F. Hegel, </w:t>
      </w:r>
      <w:r w:rsidRPr="009C3A68">
        <w:rPr>
          <w:rFonts w:ascii="Times New Roman" w:hAnsi="Times New Roman" w:cs="Times New Roman"/>
          <w:i/>
          <w:iCs/>
        </w:rPr>
        <w:t>Fenomenologia dello spirito</w:t>
      </w:r>
      <w:r w:rsidRPr="009C3A68">
        <w:rPr>
          <w:rFonts w:ascii="Times New Roman" w:hAnsi="Times New Roman" w:cs="Times New Roman"/>
        </w:rPr>
        <w:t>, La Nuova Italia, Firenze 1973, vol. I, pp. 158 e 159.</w:t>
      </w:r>
    </w:p>
  </w:footnote>
  <w:footnote w:id="3">
    <w:p w14:paraId="14EC6E28" w14:textId="2D79FE10" w:rsidR="009C3A68" w:rsidRPr="00022D8B" w:rsidRDefault="009C3A68" w:rsidP="009C3A68">
      <w:pPr>
        <w:pStyle w:val="Testonotaapidipagina"/>
        <w:rPr>
          <w:rFonts w:ascii="Times New Roman" w:hAnsi="Times New Roman" w:cs="Times New Roman"/>
        </w:rPr>
      </w:pPr>
      <w:r w:rsidRPr="00F75E4B">
        <w:rPr>
          <w:rStyle w:val="Rimandonotaapidipagina"/>
          <w:rFonts w:ascii="Times New Roman" w:hAnsi="Times New Roman" w:cs="Times New Roman"/>
        </w:rPr>
        <w:footnoteRef/>
      </w:r>
      <w:r w:rsidRPr="00022D8B">
        <w:rPr>
          <w:rFonts w:ascii="Times New Roman" w:hAnsi="Times New Roman" w:cs="Times New Roman"/>
        </w:rPr>
        <w:t xml:space="preserve"> </w:t>
      </w:r>
      <w:r w:rsidR="00986265">
        <w:rPr>
          <w:rFonts w:ascii="Times New Roman" w:hAnsi="Times New Roman" w:cs="Times New Roman"/>
        </w:rPr>
        <w:t xml:space="preserve">Il riferimento è al tetraedro che Lacan costruisce nelle lezioni V, VI e VII del Seminario su </w:t>
      </w:r>
      <w:r w:rsidR="00986265" w:rsidRPr="008B2E94">
        <w:rPr>
          <w:rFonts w:ascii="Times New Roman" w:hAnsi="Times New Roman" w:cs="Times New Roman"/>
          <w:i/>
          <w:iCs/>
        </w:rPr>
        <w:t>L’atto analitico</w:t>
      </w:r>
      <w:r w:rsidR="008B2E94">
        <w:rPr>
          <w:rFonts w:ascii="Times New Roman" w:hAnsi="Times New Roman" w:cs="Times New Roman"/>
        </w:rPr>
        <w:t>, cit.</w:t>
      </w:r>
    </w:p>
  </w:footnote>
  <w:footnote w:id="4">
    <w:p w14:paraId="251160D9" w14:textId="77777777" w:rsidR="008B2E94" w:rsidRDefault="008B2E94" w:rsidP="008B2E94">
      <w:pPr>
        <w:pStyle w:val="Testonotaapidipagina"/>
      </w:pPr>
      <w:r>
        <w:rPr>
          <w:rStyle w:val="Rimandonotaapidipagina"/>
        </w:rPr>
        <w:footnoteRef/>
      </w:r>
      <w:r>
        <w:t xml:space="preserve"> </w:t>
      </w:r>
      <w:r w:rsidRPr="00454B65">
        <w:rPr>
          <w:rFonts w:ascii="Times New Roman" w:hAnsi="Times New Roman" w:cs="Times New Roman"/>
        </w:rPr>
        <w:t xml:space="preserve">J. Lacan, </w:t>
      </w:r>
      <w:r w:rsidRPr="00454B65">
        <w:rPr>
          <w:rFonts w:ascii="Times New Roman" w:hAnsi="Times New Roman" w:cs="Times New Roman"/>
          <w:i/>
          <w:iCs/>
        </w:rPr>
        <w:t>Il Seminario, Libro XVI, Da un Altro all’altro 1968 – 1969</w:t>
      </w:r>
      <w:r w:rsidRPr="00454B65">
        <w:rPr>
          <w:rFonts w:ascii="Times New Roman" w:hAnsi="Times New Roman" w:cs="Times New Roman"/>
        </w:rPr>
        <w:t>, Einaudi 2019, p. 39.</w:t>
      </w:r>
    </w:p>
  </w:footnote>
  <w:footnote w:id="5">
    <w:p w14:paraId="29F65B85" w14:textId="73D76149" w:rsidR="00C47011" w:rsidRPr="00C47011" w:rsidRDefault="00C47011">
      <w:pPr>
        <w:pStyle w:val="Testonotaapidipagina"/>
        <w:rPr>
          <w:rFonts w:ascii="Times New Roman" w:hAnsi="Times New Roman" w:cs="Times New Roman"/>
        </w:rPr>
      </w:pPr>
      <w:r w:rsidRPr="00C47011">
        <w:rPr>
          <w:rStyle w:val="Rimandonotaapidipagina"/>
          <w:rFonts w:ascii="Times New Roman" w:hAnsi="Times New Roman" w:cs="Times New Roman"/>
        </w:rPr>
        <w:footnoteRef/>
      </w:r>
      <w:r w:rsidRPr="00C47011">
        <w:rPr>
          <w:rFonts w:ascii="Times New Roman" w:hAnsi="Times New Roman" w:cs="Times New Roman"/>
        </w:rPr>
        <w:t xml:space="preserve"> J. Lacan, </w:t>
      </w:r>
      <w:r w:rsidRPr="00C47011">
        <w:rPr>
          <w:rFonts w:ascii="Times New Roman" w:hAnsi="Times New Roman" w:cs="Times New Roman"/>
          <w:i/>
          <w:iCs/>
        </w:rPr>
        <w:t>L’envers de la psychanalyse, Séminaire 1969 – 1970</w:t>
      </w:r>
      <w:r w:rsidRPr="00C47011">
        <w:rPr>
          <w:rFonts w:ascii="Times New Roman" w:hAnsi="Times New Roman" w:cs="Times New Roman"/>
        </w:rPr>
        <w:t>, Edizione fuori commercio dell’Association lacanienne internationale, lezione del 26 no</w:t>
      </w:r>
      <w:r>
        <w:rPr>
          <w:rFonts w:ascii="Times New Roman" w:hAnsi="Times New Roman" w:cs="Times New Roman"/>
        </w:rPr>
        <w:t>vembre 1969, p 20.</w:t>
      </w:r>
    </w:p>
  </w:footnote>
  <w:footnote w:id="6">
    <w:p w14:paraId="02811AF1" w14:textId="43D541FA" w:rsidR="008F0FFA" w:rsidRPr="00F77503" w:rsidRDefault="008F0FFA">
      <w:pPr>
        <w:pStyle w:val="Testonotaapidipagina"/>
        <w:rPr>
          <w:rFonts w:ascii="Times New Roman" w:hAnsi="Times New Roman" w:cs="Times New Roman"/>
        </w:rPr>
      </w:pPr>
      <w:r w:rsidRPr="00F77503">
        <w:rPr>
          <w:rStyle w:val="Rimandonotaapidipagina"/>
          <w:rFonts w:ascii="Times New Roman" w:hAnsi="Times New Roman" w:cs="Times New Roman"/>
        </w:rPr>
        <w:footnoteRef/>
      </w:r>
      <w:r w:rsidRPr="00F77503">
        <w:rPr>
          <w:rFonts w:ascii="Times New Roman" w:hAnsi="Times New Roman" w:cs="Times New Roman"/>
        </w:rPr>
        <w:t xml:space="preserve"> </w:t>
      </w:r>
      <w:r w:rsidRPr="00F77503">
        <w:rPr>
          <w:rFonts w:ascii="Times New Roman" w:hAnsi="Times New Roman" w:cs="Times New Roman"/>
          <w:i/>
          <w:iCs/>
        </w:rPr>
        <w:t>Ivi</w:t>
      </w:r>
      <w:r w:rsidRPr="00F77503">
        <w:rPr>
          <w:rFonts w:ascii="Times New Roman" w:hAnsi="Times New Roman" w:cs="Times New Roman"/>
        </w:rPr>
        <w:t>, lezione del 21 gennaio 1970, p. 72: «</w:t>
      </w:r>
      <w:r w:rsidR="00F77503" w:rsidRPr="00F77503">
        <w:rPr>
          <w:rFonts w:ascii="Times New Roman" w:hAnsi="Times New Roman" w:cs="Times New Roman"/>
        </w:rPr>
        <w:t xml:space="preserve">Ho già detto dell’ambiguità del termine che può voler dire </w:t>
      </w:r>
      <w:r w:rsidR="00F77503">
        <w:rPr>
          <w:rFonts w:ascii="Times New Roman" w:hAnsi="Times New Roman" w:cs="Times New Roman"/>
        </w:rPr>
        <w:t>anche</w:t>
      </w:r>
      <w:r w:rsidR="00F77503" w:rsidRPr="00F77503">
        <w:rPr>
          <w:rFonts w:ascii="Times New Roman" w:hAnsi="Times New Roman" w:cs="Times New Roman"/>
        </w:rPr>
        <w:t xml:space="preserve"> rivoluzione nel senso in cui la si intende nella meccanica celeste, ovvero ritorno all’inizio.</w:t>
      </w:r>
      <w:r w:rsidRPr="00F77503">
        <w:rPr>
          <w:rFonts w:ascii="Times New Roman" w:hAnsi="Times New Roman" w:cs="Times New Roman"/>
        </w:rPr>
        <w:t>»</w:t>
      </w:r>
    </w:p>
  </w:footnote>
  <w:footnote w:id="7">
    <w:p w14:paraId="265F601F" w14:textId="77777777" w:rsidR="008C244E" w:rsidRDefault="008C244E" w:rsidP="008C244E">
      <w:pPr>
        <w:pStyle w:val="Testonotaapidipagina"/>
        <w:jc w:val="both"/>
      </w:pPr>
      <w:r>
        <w:rPr>
          <w:rStyle w:val="Rimandonotaapidipagina"/>
        </w:rPr>
        <w:footnoteRef/>
      </w:r>
      <w:r>
        <w:t xml:space="preserve"> </w:t>
      </w:r>
      <w:r w:rsidRPr="00F71C20">
        <w:rPr>
          <w:i/>
          <w:iCs/>
        </w:rPr>
        <w:t>Ivi</w:t>
      </w:r>
      <w:r>
        <w:t>, p. 97.</w:t>
      </w:r>
    </w:p>
  </w:footnote>
  <w:footnote w:id="8">
    <w:p w14:paraId="0EB2246C" w14:textId="77777777" w:rsidR="00D17995" w:rsidRDefault="00D17995" w:rsidP="00D17995">
      <w:pPr>
        <w:pStyle w:val="Testonotaapidipagina"/>
      </w:pPr>
      <w:r>
        <w:rPr>
          <w:rStyle w:val="Rimandonotaapidipagina"/>
        </w:rPr>
        <w:footnoteRef/>
      </w:r>
      <w:r>
        <w:t xml:space="preserve"> J. Lacan, </w:t>
      </w:r>
      <w:r>
        <w:rPr>
          <w:i/>
          <w:iCs/>
        </w:rPr>
        <w:t>L’envers</w:t>
      </w:r>
      <w:r>
        <w:t>…cit. p. 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BD"/>
    <w:rsid w:val="00074EB1"/>
    <w:rsid w:val="00180987"/>
    <w:rsid w:val="001C744D"/>
    <w:rsid w:val="00281C8A"/>
    <w:rsid w:val="002B59E8"/>
    <w:rsid w:val="00350AC7"/>
    <w:rsid w:val="003A4939"/>
    <w:rsid w:val="003B5890"/>
    <w:rsid w:val="004F4C05"/>
    <w:rsid w:val="00561765"/>
    <w:rsid w:val="00564BFF"/>
    <w:rsid w:val="00642D45"/>
    <w:rsid w:val="00741D86"/>
    <w:rsid w:val="007C59B0"/>
    <w:rsid w:val="00815E5B"/>
    <w:rsid w:val="008B2E94"/>
    <w:rsid w:val="008C244E"/>
    <w:rsid w:val="008E3686"/>
    <w:rsid w:val="008F0FFA"/>
    <w:rsid w:val="008F63E2"/>
    <w:rsid w:val="009230E6"/>
    <w:rsid w:val="0093649B"/>
    <w:rsid w:val="00986265"/>
    <w:rsid w:val="009905A9"/>
    <w:rsid w:val="009C3A68"/>
    <w:rsid w:val="009C6766"/>
    <w:rsid w:val="00A26571"/>
    <w:rsid w:val="00B44D40"/>
    <w:rsid w:val="00B5164D"/>
    <w:rsid w:val="00B70D14"/>
    <w:rsid w:val="00BE600C"/>
    <w:rsid w:val="00BF4A29"/>
    <w:rsid w:val="00C47011"/>
    <w:rsid w:val="00D17995"/>
    <w:rsid w:val="00D61398"/>
    <w:rsid w:val="00E753B7"/>
    <w:rsid w:val="00EB0EBD"/>
    <w:rsid w:val="00F77503"/>
    <w:rsid w:val="00FE0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B650"/>
  <w15:chartTrackingRefBased/>
  <w15:docId w15:val="{03C9CD7E-3EBC-4660-9BB6-2B71FBA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B0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B0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B0EB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B0EB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B0EB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B0EB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B0EB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B0EB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B0EB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0EB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B0EB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B0EB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B0EB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B0EB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B0E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B0E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B0E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B0E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EB0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B0E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B0EB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B0E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B0EB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B0EBD"/>
    <w:rPr>
      <w:i/>
      <w:iCs/>
      <w:color w:val="404040" w:themeColor="text1" w:themeTint="BF"/>
    </w:rPr>
  </w:style>
  <w:style w:type="paragraph" w:styleId="Paragrafoelenco">
    <w:name w:val="List Paragraph"/>
    <w:basedOn w:val="Normale"/>
    <w:uiPriority w:val="34"/>
    <w:qFormat/>
    <w:rsid w:val="00EB0EBD"/>
    <w:pPr>
      <w:ind w:left="720"/>
      <w:contextualSpacing/>
    </w:pPr>
  </w:style>
  <w:style w:type="character" w:styleId="Enfasiintensa">
    <w:name w:val="Intense Emphasis"/>
    <w:basedOn w:val="Carpredefinitoparagrafo"/>
    <w:uiPriority w:val="21"/>
    <w:qFormat/>
    <w:rsid w:val="00EB0EBD"/>
    <w:rPr>
      <w:i/>
      <w:iCs/>
      <w:color w:val="0F4761" w:themeColor="accent1" w:themeShade="BF"/>
    </w:rPr>
  </w:style>
  <w:style w:type="paragraph" w:styleId="Citazioneintensa">
    <w:name w:val="Intense Quote"/>
    <w:basedOn w:val="Normale"/>
    <w:next w:val="Normale"/>
    <w:link w:val="CitazioneintensaCarattere"/>
    <w:uiPriority w:val="30"/>
    <w:qFormat/>
    <w:rsid w:val="00EB0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B0EBD"/>
    <w:rPr>
      <w:i/>
      <w:iCs/>
      <w:color w:val="0F4761" w:themeColor="accent1" w:themeShade="BF"/>
    </w:rPr>
  </w:style>
  <w:style w:type="character" w:styleId="Riferimentointenso">
    <w:name w:val="Intense Reference"/>
    <w:basedOn w:val="Carpredefinitoparagrafo"/>
    <w:uiPriority w:val="32"/>
    <w:qFormat/>
    <w:rsid w:val="00EB0EBD"/>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2B59E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B59E8"/>
    <w:rPr>
      <w:sz w:val="20"/>
      <w:szCs w:val="20"/>
    </w:rPr>
  </w:style>
  <w:style w:type="character" w:styleId="Rimandonotaapidipagina">
    <w:name w:val="footnote reference"/>
    <w:basedOn w:val="Carpredefinitoparagrafo"/>
    <w:uiPriority w:val="99"/>
    <w:semiHidden/>
    <w:unhideWhenUsed/>
    <w:rsid w:val="002B59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7C82-F431-4E21-A234-100DB004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2046</Words>
  <Characters>11664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Gambini</dc:creator>
  <cp:keywords/>
  <dc:description/>
  <cp:lastModifiedBy>Fabrizio Gambini</cp:lastModifiedBy>
  <cp:revision>14</cp:revision>
  <dcterms:created xsi:type="dcterms:W3CDTF">2025-02-05T11:59:00Z</dcterms:created>
  <dcterms:modified xsi:type="dcterms:W3CDTF">2025-02-18T09:27:00Z</dcterms:modified>
</cp:coreProperties>
</file>